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65" w:rsidRPr="00FC4C12" w:rsidRDefault="00847B65" w:rsidP="00847B65">
      <w:pPr>
        <w:pStyle w:val="Default"/>
        <w:jc w:val="center"/>
        <w:rPr>
          <w:rFonts w:ascii="Times New Roman" w:eastAsia="標楷體" w:hAnsi="Times New Roman" w:cs="Times New Roman"/>
          <w:b/>
          <w:sz w:val="32"/>
          <w:szCs w:val="32"/>
        </w:rPr>
      </w:pPr>
      <w:r w:rsidRPr="00FC4C12">
        <w:rPr>
          <w:rFonts w:ascii="Times New Roman" w:eastAsia="標楷體" w:hAnsi="Times New Roman" w:cs="Times New Roman"/>
          <w:b/>
          <w:sz w:val="32"/>
          <w:szCs w:val="32"/>
        </w:rPr>
        <w:t>致理科技大學</w:t>
      </w:r>
      <w:r w:rsidR="00CC3407">
        <w:rPr>
          <w:rFonts w:ascii="Times New Roman" w:eastAsia="標楷體" w:hAnsi="Times New Roman" w:cs="Times New Roman" w:hint="eastAsia"/>
          <w:b/>
          <w:sz w:val="32"/>
          <w:szCs w:val="32"/>
        </w:rPr>
        <w:t xml:space="preserve"> </w:t>
      </w:r>
      <w:r w:rsidRPr="00FC4C12">
        <w:rPr>
          <w:rFonts w:ascii="Times New Roman" w:eastAsia="標楷體" w:hAnsi="Times New Roman" w:cs="Times New Roman"/>
          <w:b/>
          <w:bCs/>
          <w:sz w:val="32"/>
          <w:szCs w:val="32"/>
        </w:rPr>
        <w:t>1</w:t>
      </w:r>
      <w:r w:rsidR="00A846A6">
        <w:rPr>
          <w:rFonts w:ascii="Times New Roman" w:eastAsia="標楷體" w:hAnsi="Times New Roman" w:cs="Times New Roman" w:hint="eastAsia"/>
          <w:b/>
          <w:bCs/>
          <w:sz w:val="32"/>
          <w:szCs w:val="32"/>
        </w:rPr>
        <w:t>1</w:t>
      </w:r>
      <w:r w:rsidR="00CB1C66">
        <w:rPr>
          <w:rFonts w:ascii="Times New Roman" w:eastAsia="標楷體" w:hAnsi="Times New Roman" w:cs="Times New Roman" w:hint="eastAsia"/>
          <w:b/>
          <w:bCs/>
          <w:sz w:val="32"/>
          <w:szCs w:val="32"/>
        </w:rPr>
        <w:t>1</w:t>
      </w:r>
      <w:r w:rsidRPr="00FC4C12">
        <w:rPr>
          <w:rFonts w:ascii="Times New Roman" w:eastAsia="標楷體" w:hAnsi="Times New Roman" w:cs="Times New Roman"/>
          <w:b/>
          <w:sz w:val="32"/>
          <w:szCs w:val="32"/>
        </w:rPr>
        <w:t>學年度</w:t>
      </w:r>
      <w:r w:rsidRPr="00FC4C12">
        <w:rPr>
          <w:rFonts w:ascii="Times New Roman" w:eastAsia="標楷體" w:hAnsi="Times New Roman" w:cs="Times New Roman"/>
          <w:b/>
          <w:sz w:val="32"/>
          <w:szCs w:val="32"/>
        </w:rPr>
        <w:t xml:space="preserve"> </w:t>
      </w:r>
      <w:r w:rsidR="00327CF7">
        <w:rPr>
          <w:rFonts w:ascii="Times New Roman" w:eastAsia="標楷體" w:hAnsi="Times New Roman" w:cs="Times New Roman" w:hint="eastAsia"/>
          <w:b/>
          <w:sz w:val="32"/>
          <w:szCs w:val="32"/>
        </w:rPr>
        <w:t>網實通路整合</w:t>
      </w:r>
      <w:r w:rsidRPr="00FC4C12">
        <w:rPr>
          <w:rFonts w:ascii="Times New Roman" w:eastAsia="標楷體" w:hAnsi="Times New Roman" w:cs="Times New Roman"/>
          <w:b/>
          <w:sz w:val="32"/>
          <w:szCs w:val="32"/>
        </w:rPr>
        <w:t xml:space="preserve"> </w:t>
      </w:r>
      <w:r w:rsidRPr="00FC4C12">
        <w:rPr>
          <w:rFonts w:ascii="Times New Roman" w:eastAsia="標楷體" w:hAnsi="Times New Roman" w:cs="Times New Roman"/>
          <w:b/>
          <w:sz w:val="32"/>
          <w:szCs w:val="32"/>
        </w:rPr>
        <w:t>學分學程</w:t>
      </w:r>
    </w:p>
    <w:p w:rsidR="00235078" w:rsidRDefault="006937CD" w:rsidP="00847B65">
      <w:pPr>
        <w:jc w:val="center"/>
        <w:rPr>
          <w:rFonts w:ascii="Times New Roman" w:eastAsia="標楷體" w:hAnsi="Times New Roman" w:cs="Times New Roman"/>
          <w:b/>
          <w:sz w:val="32"/>
          <w:szCs w:val="32"/>
        </w:rPr>
      </w:pPr>
      <w:r w:rsidRPr="00FC4C12">
        <w:rPr>
          <w:rFonts w:ascii="Times New Roman" w:eastAsia="標楷體" w:hAnsi="Times New Roman" w:cs="Times New Roman"/>
          <w:b/>
          <w:sz w:val="32"/>
          <w:szCs w:val="32"/>
        </w:rPr>
        <w:t>評鑑</w:t>
      </w:r>
      <w:r>
        <w:rPr>
          <w:rFonts w:ascii="Times New Roman" w:eastAsia="標楷體" w:hAnsi="Times New Roman" w:cs="Times New Roman" w:hint="eastAsia"/>
          <w:b/>
          <w:sz w:val="32"/>
          <w:szCs w:val="32"/>
        </w:rPr>
        <w:t>改善情形追蹤列管</w:t>
      </w:r>
      <w:r>
        <w:rPr>
          <w:rFonts w:ascii="Times New Roman" w:eastAsia="標楷體" w:hAnsi="Times New Roman" w:cs="Times New Roman" w:hint="eastAsia"/>
          <w:b/>
          <w:sz w:val="32"/>
          <w:szCs w:val="32"/>
        </w:rPr>
        <w:t xml:space="preserve"> ~ 112.7.30</w:t>
      </w:r>
    </w:p>
    <w:p w:rsidR="00847B65" w:rsidRPr="00581F81" w:rsidRDefault="00847B65" w:rsidP="00FC4C12">
      <w:pPr>
        <w:pStyle w:val="a3"/>
        <w:numPr>
          <w:ilvl w:val="0"/>
          <w:numId w:val="5"/>
        </w:numPr>
        <w:ind w:leftChars="0"/>
        <w:rPr>
          <w:rFonts w:ascii="Times New Roman" w:eastAsia="標楷體" w:hAnsi="Times New Roman" w:cs="Times New Roman"/>
          <w:b/>
        </w:rPr>
      </w:pPr>
      <w:r w:rsidRPr="00FC4C12">
        <w:rPr>
          <w:rFonts w:ascii="Times New Roman" w:eastAsia="標楷體" w:hAnsi="Times New Roman" w:cs="Times New Roman"/>
          <w:b/>
          <w:sz w:val="28"/>
          <w:szCs w:val="28"/>
        </w:rPr>
        <w:t>學程自我定位之評鑑意見</w:t>
      </w:r>
    </w:p>
    <w:tbl>
      <w:tblPr>
        <w:tblStyle w:val="a4"/>
        <w:tblW w:w="0" w:type="auto"/>
        <w:tblInd w:w="720" w:type="dxa"/>
        <w:tblLook w:val="04A0" w:firstRow="1" w:lastRow="0" w:firstColumn="1" w:lastColumn="0" w:noHBand="0" w:noVBand="1"/>
      </w:tblPr>
      <w:tblGrid>
        <w:gridCol w:w="1027"/>
        <w:gridCol w:w="6895"/>
        <w:gridCol w:w="5306"/>
      </w:tblGrid>
      <w:tr w:rsidR="00EB0688" w:rsidRPr="000C706F" w:rsidTr="00EB0688">
        <w:tc>
          <w:tcPr>
            <w:tcW w:w="1027" w:type="dxa"/>
            <w:vAlign w:val="center"/>
          </w:tcPr>
          <w:p w:rsidR="00EB0688" w:rsidRPr="000C706F" w:rsidRDefault="00EB0688"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6895" w:type="dxa"/>
          </w:tcPr>
          <w:p w:rsidR="00EB0688" w:rsidRPr="00A846A6" w:rsidRDefault="00EB0688" w:rsidP="00BF2376">
            <w:pPr>
              <w:widowControl/>
              <w:jc w:val="both"/>
              <w:rPr>
                <w:rFonts w:ascii="Times New Roman" w:eastAsia="標楷體" w:hAnsi="Times New Roman" w:cs="Times New Roman"/>
              </w:rPr>
            </w:pPr>
            <w:r>
              <w:rPr>
                <w:rFonts w:ascii="Times New Roman" w:eastAsia="標楷體" w:hAnsi="Times New Roman" w:cs="Times New Roman" w:hint="eastAsia"/>
                <w:bCs/>
              </w:rPr>
              <w:t>學程之開設能夠運用學校之</w:t>
            </w:r>
            <w:r w:rsidRPr="002C7945">
              <w:rPr>
                <w:rFonts w:ascii="Times New Roman" w:eastAsia="標楷體" w:hAnsi="Times New Roman" w:cs="Times New Roman" w:hint="eastAsia"/>
                <w:bCs/>
              </w:rPr>
              <w:t>優勢與特色</w:t>
            </w:r>
            <w:r>
              <w:rPr>
                <w:rFonts w:ascii="Times New Roman" w:eastAsia="標楷體" w:hAnsi="Times New Roman" w:cs="Times New Roman" w:hint="eastAsia"/>
                <w:bCs/>
              </w:rPr>
              <w:t>，並且考慮</w:t>
            </w:r>
            <w:r w:rsidRPr="00D924ED">
              <w:rPr>
                <w:rFonts w:ascii="Times New Roman" w:eastAsia="標楷體" w:hAnsi="Times New Roman" w:cs="Times New Roman" w:hint="eastAsia"/>
                <w:bCs/>
              </w:rPr>
              <w:t>產業與社會之需求</w:t>
            </w:r>
            <w:r>
              <w:rPr>
                <w:rFonts w:ascii="Times New Roman" w:eastAsia="標楷體" w:hAnsi="Times New Roman" w:cs="Times New Roman" w:hint="eastAsia"/>
                <w:bCs/>
              </w:rPr>
              <w:t>；因此，學程之定位明確，對於培育</w:t>
            </w:r>
            <w:r w:rsidRPr="002C7945">
              <w:rPr>
                <w:rFonts w:ascii="Times New Roman" w:eastAsia="標楷體" w:hAnsi="Times New Roman" w:cs="Times New Roman" w:hint="eastAsia"/>
                <w:bCs/>
              </w:rPr>
              <w:t>網實通路整合流通</w:t>
            </w:r>
            <w:r>
              <w:rPr>
                <w:rFonts w:ascii="Times New Roman" w:eastAsia="標楷體" w:hAnsi="Times New Roman" w:cs="Times New Roman" w:hint="eastAsia"/>
                <w:bCs/>
              </w:rPr>
              <w:t>產業</w:t>
            </w:r>
            <w:r w:rsidRPr="002C7945">
              <w:rPr>
                <w:rFonts w:ascii="Times New Roman" w:eastAsia="標楷體" w:hAnsi="Times New Roman" w:cs="Times New Roman" w:hint="eastAsia"/>
                <w:bCs/>
              </w:rPr>
              <w:t>人才</w:t>
            </w:r>
            <w:r>
              <w:rPr>
                <w:rFonts w:ascii="Times New Roman" w:eastAsia="標楷體" w:hAnsi="Times New Roman" w:cs="Times New Roman" w:hint="eastAsia"/>
                <w:bCs/>
              </w:rPr>
              <w:t>有莫大助益。</w:t>
            </w:r>
          </w:p>
        </w:tc>
        <w:tc>
          <w:tcPr>
            <w:tcW w:w="5306" w:type="dxa"/>
            <w:vMerge w:val="restart"/>
          </w:tcPr>
          <w:p w:rsidR="00EB0688" w:rsidRDefault="00EB0688" w:rsidP="00BF2376">
            <w:pPr>
              <w:widowControl/>
              <w:jc w:val="both"/>
              <w:rPr>
                <w:rFonts w:ascii="Times New Roman" w:eastAsia="標楷體" w:hAnsi="Times New Roman" w:cs="Times New Roman" w:hint="eastAsia"/>
                <w:bCs/>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EB0688" w:rsidRPr="000C706F" w:rsidTr="00EB0688">
        <w:tc>
          <w:tcPr>
            <w:tcW w:w="1027" w:type="dxa"/>
            <w:vAlign w:val="center"/>
          </w:tcPr>
          <w:p w:rsidR="00EB0688" w:rsidRPr="000C706F" w:rsidRDefault="00EB0688"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6895" w:type="dxa"/>
          </w:tcPr>
          <w:p w:rsidR="00EB0688" w:rsidRPr="005A283E" w:rsidRDefault="00EB0688" w:rsidP="009B74E5">
            <w:pPr>
              <w:widowControl/>
              <w:jc w:val="both"/>
              <w:rPr>
                <w:rFonts w:ascii="Times New Roman" w:eastAsia="標楷體" w:hAnsi="Times New Roman" w:cs="Times New Roman"/>
              </w:rPr>
            </w:pPr>
            <w:r>
              <w:rPr>
                <w:rFonts w:ascii="Times New Roman" w:eastAsia="標楷體" w:hAnsi="Times New Roman" w:cs="Times New Roman" w:hint="eastAsia"/>
                <w:bCs/>
              </w:rPr>
              <w:t>致理科技大學行銷與流通管理</w:t>
            </w:r>
            <w:r w:rsidRPr="00471923">
              <w:rPr>
                <w:rFonts w:ascii="Times New Roman" w:eastAsia="標楷體" w:hAnsi="Times New Roman" w:cs="Times New Roman" w:hint="eastAsia"/>
                <w:bCs/>
              </w:rPr>
              <w:t>系設立的宗旨便是在於培育一流的</w:t>
            </w:r>
            <w:r>
              <w:rPr>
                <w:rFonts w:ascii="Times New Roman" w:eastAsia="標楷體" w:hAnsi="Times New Roman" w:cs="Times New Roman" w:hint="eastAsia"/>
                <w:bCs/>
              </w:rPr>
              <w:t>精準行銷與厚實運籌</w:t>
            </w:r>
            <w:r w:rsidRPr="00471923">
              <w:rPr>
                <w:rFonts w:ascii="Times New Roman" w:eastAsia="標楷體" w:hAnsi="Times New Roman" w:cs="Times New Roman" w:hint="eastAsia"/>
                <w:bCs/>
              </w:rPr>
              <w:t>管理領導人才</w:t>
            </w:r>
            <w:r>
              <w:rPr>
                <w:rFonts w:ascii="Times New Roman" w:eastAsia="標楷體" w:hAnsi="Times New Roman" w:cs="Times New Roman" w:hint="eastAsia"/>
                <w:bCs/>
              </w:rPr>
              <w:t>，本學程延續系所定位，嗅覺到發達的企業</w:t>
            </w:r>
            <w:r w:rsidRPr="00471923">
              <w:rPr>
                <w:rFonts w:ascii="Times New Roman" w:eastAsia="標楷體" w:hAnsi="Times New Roman" w:cs="Times New Roman" w:hint="eastAsia"/>
                <w:bCs/>
              </w:rPr>
              <w:t>善用物流</w:t>
            </w:r>
            <w:r w:rsidRPr="00471923">
              <w:rPr>
                <w:rFonts w:ascii="Times New Roman" w:eastAsia="標楷體" w:hAnsi="Times New Roman" w:cs="Times New Roman" w:hint="eastAsia"/>
                <w:bCs/>
              </w:rPr>
              <w:t>/</w:t>
            </w:r>
            <w:r w:rsidRPr="00471923">
              <w:rPr>
                <w:rFonts w:ascii="Times New Roman" w:eastAsia="標楷體" w:hAnsi="Times New Roman" w:cs="Times New Roman" w:hint="eastAsia"/>
                <w:bCs/>
              </w:rPr>
              <w:t>運籌以支援行銷策略及提高顧客服務的水準</w:t>
            </w:r>
            <w:r>
              <w:rPr>
                <w:rFonts w:ascii="Times New Roman" w:eastAsia="標楷體" w:hAnsi="Times New Roman" w:cs="Times New Roman" w:hint="eastAsia"/>
                <w:bCs/>
              </w:rPr>
              <w:t>，</w:t>
            </w:r>
            <w:r w:rsidRPr="00471923">
              <w:rPr>
                <w:rFonts w:ascii="Times New Roman" w:eastAsia="標楷體" w:hAnsi="Times New Roman" w:cs="Times New Roman" w:hint="eastAsia"/>
                <w:bCs/>
              </w:rPr>
              <w:t>以「人才」做為提升企業動力</w:t>
            </w:r>
            <w:r>
              <w:rPr>
                <w:rFonts w:ascii="Times New Roman" w:eastAsia="標楷體" w:hAnsi="Times New Roman" w:cs="Times New Roman" w:hint="eastAsia"/>
                <w:bCs/>
              </w:rPr>
              <w:t>，造就</w:t>
            </w:r>
            <w:r w:rsidRPr="00471923">
              <w:rPr>
                <w:rFonts w:ascii="Times New Roman" w:eastAsia="標楷體" w:hAnsi="Times New Roman" w:cs="Times New Roman" w:hint="eastAsia"/>
                <w:bCs/>
              </w:rPr>
              <w:t>企業競爭優勢</w:t>
            </w:r>
            <w:r>
              <w:rPr>
                <w:rFonts w:ascii="Times New Roman" w:eastAsia="標楷體" w:hAnsi="Times New Roman" w:cs="Times New Roman" w:hint="eastAsia"/>
                <w:bCs/>
              </w:rPr>
              <w:t>，進而</w:t>
            </w:r>
            <w:r w:rsidRPr="00471923">
              <w:rPr>
                <w:rFonts w:ascii="Times New Roman" w:eastAsia="標楷體" w:hAnsi="Times New Roman" w:cs="Times New Roman" w:hint="eastAsia"/>
                <w:bCs/>
              </w:rPr>
              <w:t>因應此一趨勢</w:t>
            </w:r>
            <w:r>
              <w:rPr>
                <w:rFonts w:ascii="Times New Roman" w:eastAsia="標楷體" w:hAnsi="Times New Roman" w:cs="Times New Roman" w:hint="eastAsia"/>
                <w:bCs/>
              </w:rPr>
              <w:t>的學程定位精準且符合企業發展路徑，讓受訓學生能夠學以致用</w:t>
            </w:r>
            <w:r w:rsidRPr="00471923">
              <w:rPr>
                <w:rFonts w:ascii="Times New Roman" w:eastAsia="標楷體" w:hAnsi="Times New Roman" w:cs="Times New Roman" w:hint="eastAsia"/>
                <w:bCs/>
              </w:rPr>
              <w:t>。</w:t>
            </w:r>
          </w:p>
        </w:tc>
        <w:tc>
          <w:tcPr>
            <w:tcW w:w="5306" w:type="dxa"/>
            <w:vMerge/>
          </w:tcPr>
          <w:p w:rsidR="00EB0688" w:rsidRDefault="00EB0688" w:rsidP="009B74E5">
            <w:pPr>
              <w:widowControl/>
              <w:jc w:val="both"/>
              <w:rPr>
                <w:rFonts w:ascii="Times New Roman" w:eastAsia="標楷體" w:hAnsi="Times New Roman" w:cs="Times New Roman" w:hint="eastAsia"/>
                <w:bCs/>
              </w:rPr>
            </w:pPr>
          </w:p>
        </w:tc>
      </w:tr>
      <w:tr w:rsidR="00EB0688" w:rsidRPr="000C706F" w:rsidTr="00EB0688">
        <w:tc>
          <w:tcPr>
            <w:tcW w:w="1027" w:type="dxa"/>
            <w:vAlign w:val="center"/>
          </w:tcPr>
          <w:p w:rsidR="00EB0688" w:rsidRPr="000C706F" w:rsidRDefault="00EB0688"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3</w:t>
            </w:r>
          </w:p>
        </w:tc>
        <w:tc>
          <w:tcPr>
            <w:tcW w:w="6895" w:type="dxa"/>
          </w:tcPr>
          <w:p w:rsidR="00EB0688" w:rsidRPr="00E67EE5" w:rsidRDefault="006040F2" w:rsidP="009B74E5">
            <w:pPr>
              <w:widowControl/>
              <w:jc w:val="both"/>
              <w:rPr>
                <w:rFonts w:ascii="Times New Roman" w:eastAsia="標楷體" w:hAnsi="Times New Roman" w:cs="Times New Roman"/>
              </w:rPr>
            </w:pPr>
            <w:r>
              <w:rPr>
                <w:rFonts w:ascii="Times New Roman" w:eastAsia="標楷體" w:hAnsi="Times New Roman" w:cs="Times New Roman" w:hint="eastAsia"/>
                <w:bCs/>
              </w:rPr>
              <w:t>貼切現在就業市場上的需求。</w:t>
            </w:r>
            <w:r w:rsidRPr="009B74E5">
              <w:rPr>
                <w:rFonts w:ascii="Times New Roman" w:eastAsia="標楷體" w:hAnsi="Times New Roman" w:hint="eastAsia"/>
              </w:rPr>
              <w:t>目標清楚，契合產業發展與人才需求趨勢。</w:t>
            </w:r>
          </w:p>
        </w:tc>
        <w:tc>
          <w:tcPr>
            <w:tcW w:w="5306" w:type="dxa"/>
            <w:vMerge/>
          </w:tcPr>
          <w:p w:rsidR="00EB0688" w:rsidRPr="00E67EE5" w:rsidRDefault="00EB0688" w:rsidP="009B74E5">
            <w:pPr>
              <w:widowControl/>
              <w:jc w:val="both"/>
              <w:rPr>
                <w:rFonts w:ascii="Times New Roman" w:eastAsia="標楷體" w:hAnsi="Times New Roman" w:cs="Times New Roman"/>
              </w:rPr>
            </w:pPr>
          </w:p>
        </w:tc>
      </w:tr>
    </w:tbl>
    <w:p w:rsidR="00581F81" w:rsidRPr="00FC4C12" w:rsidRDefault="00581F81" w:rsidP="00581F81">
      <w:pPr>
        <w:pStyle w:val="a3"/>
        <w:ind w:leftChars="0" w:left="720"/>
        <w:rPr>
          <w:rFonts w:ascii="Times New Roman" w:eastAsia="標楷體" w:hAnsi="Times New Roman" w:cs="Times New Roman"/>
          <w:b/>
        </w:rPr>
      </w:pPr>
    </w:p>
    <w:p w:rsidR="00F23706" w:rsidRDefault="00F23706" w:rsidP="00FC4C12">
      <w:pPr>
        <w:pStyle w:val="a3"/>
        <w:numPr>
          <w:ilvl w:val="0"/>
          <w:numId w:val="5"/>
        </w:numPr>
        <w:ind w:leftChars="0"/>
        <w:rPr>
          <w:rFonts w:ascii="Times New Roman" w:eastAsia="標楷體" w:hAnsi="Times New Roman" w:cs="Times New Roman"/>
          <w:b/>
          <w:sz w:val="28"/>
          <w:szCs w:val="28"/>
        </w:rPr>
      </w:pPr>
      <w:r w:rsidRPr="00FC4C12">
        <w:rPr>
          <w:rFonts w:ascii="Times New Roman" w:eastAsia="標楷體" w:hAnsi="Times New Roman" w:cs="Times New Roman"/>
          <w:b/>
          <w:sz w:val="28"/>
          <w:szCs w:val="28"/>
        </w:rPr>
        <w:t>學程課程規劃之評鑑意見</w:t>
      </w:r>
    </w:p>
    <w:tbl>
      <w:tblPr>
        <w:tblStyle w:val="a4"/>
        <w:tblW w:w="0" w:type="auto"/>
        <w:tblInd w:w="720" w:type="dxa"/>
        <w:tblLook w:val="04A0" w:firstRow="1" w:lastRow="0" w:firstColumn="1" w:lastColumn="0" w:noHBand="0" w:noVBand="1"/>
      </w:tblPr>
      <w:tblGrid>
        <w:gridCol w:w="995"/>
        <w:gridCol w:w="6927"/>
        <w:gridCol w:w="5306"/>
      </w:tblGrid>
      <w:tr w:rsidR="00EE3605" w:rsidRPr="000C706F" w:rsidTr="00EE3605">
        <w:trPr>
          <w:trHeight w:val="730"/>
        </w:trPr>
        <w:tc>
          <w:tcPr>
            <w:tcW w:w="995" w:type="dxa"/>
            <w:vAlign w:val="center"/>
          </w:tcPr>
          <w:p w:rsidR="00EE3605" w:rsidRPr="000C706F" w:rsidRDefault="00EE3605"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6927" w:type="dxa"/>
          </w:tcPr>
          <w:p w:rsidR="00EE3605" w:rsidRPr="00395816" w:rsidRDefault="00EE3605" w:rsidP="00395816">
            <w:pPr>
              <w:pStyle w:val="ab"/>
              <w:widowControl/>
              <w:spacing w:line="288" w:lineRule="auto"/>
              <w:rPr>
                <w:rFonts w:ascii="Times New Roman" w:eastAsia="標楷體" w:hAnsi="Times New Roman" w:cs="Times New Roman"/>
              </w:rPr>
            </w:pPr>
            <w:r>
              <w:rPr>
                <w:rFonts w:ascii="Times New Roman" w:eastAsia="標楷體" w:hAnsi="Times New Roman" w:cs="Times New Roman" w:hint="eastAsia"/>
              </w:rPr>
              <w:t>課程規劃完整，能夠充分運用</w:t>
            </w:r>
            <w:r w:rsidRPr="000B3A86">
              <w:rPr>
                <w:rFonts w:ascii="Times New Roman" w:eastAsia="標楷體" w:hAnsi="Times New Roman" w:cs="Times New Roman" w:hint="eastAsia"/>
              </w:rPr>
              <w:t>校內師資</w:t>
            </w:r>
            <w:r>
              <w:rPr>
                <w:rFonts w:ascii="Times New Roman" w:eastAsia="標楷體" w:hAnsi="Times New Roman" w:cs="Times New Roman" w:hint="eastAsia"/>
              </w:rPr>
              <w:t>資源以外，部分課程由</w:t>
            </w:r>
            <w:r w:rsidRPr="000B3A86">
              <w:rPr>
                <w:rFonts w:ascii="Times New Roman" w:eastAsia="標楷體" w:hAnsi="Times New Roman" w:cs="Times New Roman" w:hint="eastAsia"/>
              </w:rPr>
              <w:t>業界師資</w:t>
            </w:r>
            <w:r>
              <w:rPr>
                <w:rFonts w:ascii="Times New Roman" w:eastAsia="標楷體" w:hAnsi="Times New Roman" w:cs="Times New Roman" w:hint="eastAsia"/>
              </w:rPr>
              <w:t>進行開設，能夠</w:t>
            </w:r>
            <w:r w:rsidRPr="005C7962">
              <w:rPr>
                <w:rFonts w:ascii="Times New Roman" w:eastAsia="標楷體" w:hAnsi="Times New Roman" w:cs="Times New Roman" w:hint="eastAsia"/>
              </w:rPr>
              <w:t>促進課程與產業接軌</w:t>
            </w:r>
            <w:r>
              <w:rPr>
                <w:rFonts w:ascii="Times New Roman" w:eastAsia="標楷體" w:hAnsi="Times New Roman" w:cs="Times New Roman" w:hint="eastAsia"/>
              </w:rPr>
              <w:t>，對於</w:t>
            </w:r>
            <w:r w:rsidRPr="005C7962">
              <w:rPr>
                <w:rFonts w:ascii="Times New Roman" w:eastAsia="標楷體" w:hAnsi="Times New Roman" w:cs="Times New Roman" w:hint="eastAsia"/>
              </w:rPr>
              <w:t>學生</w:t>
            </w:r>
            <w:r>
              <w:rPr>
                <w:rFonts w:ascii="Times New Roman" w:eastAsia="標楷體" w:hAnsi="Times New Roman" w:cs="Times New Roman" w:hint="eastAsia"/>
              </w:rPr>
              <w:t>之</w:t>
            </w:r>
            <w:r w:rsidRPr="005C7962">
              <w:rPr>
                <w:rFonts w:ascii="Times New Roman" w:eastAsia="標楷體" w:hAnsi="Times New Roman" w:cs="Times New Roman" w:hint="eastAsia"/>
              </w:rPr>
              <w:t>實</w:t>
            </w:r>
            <w:r w:rsidRPr="005C7962">
              <w:rPr>
                <w:rFonts w:ascii="Times New Roman" w:eastAsia="標楷體" w:hAnsi="Times New Roman" w:cs="Times New Roman" w:hint="eastAsia"/>
              </w:rPr>
              <w:lastRenderedPageBreak/>
              <w:t>務能力養成</w:t>
            </w:r>
            <w:r>
              <w:rPr>
                <w:rFonts w:ascii="Times New Roman" w:eastAsia="標楷體" w:hAnsi="Times New Roman" w:cs="Times New Roman" w:hint="eastAsia"/>
              </w:rPr>
              <w:t>將有所助益。相較於</w:t>
            </w:r>
            <w:r w:rsidRPr="005C7962">
              <w:rPr>
                <w:rFonts w:ascii="Times New Roman" w:eastAsia="標楷體" w:hAnsi="Times New Roman" w:cs="Times New Roman" w:hint="eastAsia"/>
              </w:rPr>
              <w:t>實體流通管理實務</w:t>
            </w:r>
            <w:r>
              <w:rPr>
                <w:rFonts w:ascii="Times New Roman" w:eastAsia="標楷體" w:hAnsi="Times New Roman" w:cs="Times New Roman" w:hint="eastAsia"/>
              </w:rPr>
              <w:t>之選修課程，建議增加</w:t>
            </w:r>
            <w:r w:rsidRPr="005C7962">
              <w:rPr>
                <w:rFonts w:ascii="Times New Roman" w:eastAsia="標楷體" w:hAnsi="Times New Roman" w:cs="Times New Roman" w:hint="eastAsia"/>
              </w:rPr>
              <w:t>虛擬流通管理實務</w:t>
            </w:r>
            <w:r>
              <w:rPr>
                <w:rFonts w:ascii="Times New Roman" w:eastAsia="標楷體" w:hAnsi="Times New Roman" w:cs="Times New Roman" w:hint="eastAsia"/>
              </w:rPr>
              <w:t>之選修課程數目。</w:t>
            </w:r>
          </w:p>
        </w:tc>
        <w:tc>
          <w:tcPr>
            <w:tcW w:w="5306" w:type="dxa"/>
            <w:vMerge w:val="restart"/>
          </w:tcPr>
          <w:p w:rsidR="00EE3605" w:rsidRDefault="00EE3605" w:rsidP="00395816">
            <w:pPr>
              <w:pStyle w:val="ab"/>
              <w:widowControl/>
              <w:spacing w:line="288" w:lineRule="auto"/>
              <w:rPr>
                <w:rFonts w:ascii="Times New Roman" w:eastAsia="標楷體" w:hAnsi="Times New Roman" w:cs="Times New Roman" w:hint="eastAsia"/>
              </w:rPr>
            </w:pPr>
            <w:r>
              <w:rPr>
                <w:rFonts w:ascii="標楷體" w:eastAsia="標楷體" w:hAnsi="標楷體" w:cs="Times New Roman" w:hint="eastAsia"/>
                <w:bCs/>
              </w:rPr>
              <w:lastRenderedPageBreak/>
              <w:t>◎</w:t>
            </w:r>
            <w:r>
              <w:rPr>
                <w:rFonts w:ascii="Times New Roman" w:eastAsia="標楷體" w:hAnsi="Times New Roman" w:cs="Times New Roman" w:hint="eastAsia"/>
                <w:bCs/>
              </w:rPr>
              <w:t>改善計畫</w:t>
            </w:r>
          </w:p>
        </w:tc>
      </w:tr>
      <w:tr w:rsidR="00EE3605" w:rsidRPr="000C706F" w:rsidTr="00EE3605">
        <w:tc>
          <w:tcPr>
            <w:tcW w:w="995" w:type="dxa"/>
            <w:vAlign w:val="center"/>
          </w:tcPr>
          <w:p w:rsidR="00EE3605" w:rsidRPr="000C706F" w:rsidRDefault="00EE3605"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lastRenderedPageBreak/>
              <w:t>委員</w:t>
            </w:r>
            <w:r w:rsidRPr="000C706F">
              <w:rPr>
                <w:rFonts w:ascii="Times New Roman" w:eastAsia="標楷體" w:hAnsi="Times New Roman" w:hint="eastAsia"/>
              </w:rPr>
              <w:t>2</w:t>
            </w:r>
          </w:p>
        </w:tc>
        <w:tc>
          <w:tcPr>
            <w:tcW w:w="6927" w:type="dxa"/>
          </w:tcPr>
          <w:p w:rsidR="00EE3605" w:rsidRDefault="00EE3605" w:rsidP="008B521C">
            <w:pPr>
              <w:pStyle w:val="ab"/>
              <w:widowControl/>
              <w:spacing w:before="100" w:after="100"/>
              <w:rPr>
                <w:rFonts w:ascii="Times New Roman" w:eastAsia="標楷體" w:hAnsi="Times New Roman" w:cs="Times New Roman"/>
                <w:szCs w:val="28"/>
              </w:rPr>
            </w:pPr>
            <w:r>
              <w:rPr>
                <w:rFonts w:ascii="Times New Roman" w:eastAsia="標楷體" w:hAnsi="Times New Roman" w:cs="Times New Roman" w:hint="eastAsia"/>
                <w:szCs w:val="28"/>
              </w:rPr>
              <w:t>檢視本學程規劃完整且務實，惟部分課程名稱可略為訂定，與商業市場同步，建議如下</w:t>
            </w:r>
          </w:p>
          <w:p w:rsidR="00EE3605" w:rsidRPr="00FE65F4" w:rsidRDefault="00EE3605" w:rsidP="008B521C">
            <w:pPr>
              <w:pStyle w:val="ab"/>
              <w:widowControl/>
              <w:numPr>
                <w:ilvl w:val="0"/>
                <w:numId w:val="24"/>
              </w:numPr>
              <w:spacing w:before="100" w:after="100"/>
              <w:rPr>
                <w:rFonts w:ascii="Times New Roman" w:eastAsia="標楷體" w:hAnsi="Times New Roman" w:cs="Times New Roman"/>
              </w:rPr>
            </w:pPr>
            <w:r>
              <w:rPr>
                <w:rFonts w:ascii="Times New Roman" w:eastAsia="標楷體" w:hAnsi="Times New Roman" w:cs="Times New Roman" w:hint="eastAsia"/>
                <w:szCs w:val="28"/>
              </w:rPr>
              <w:t>[</w:t>
            </w:r>
            <w:r w:rsidRPr="0027737C">
              <w:rPr>
                <w:rFonts w:ascii="Times New Roman" w:eastAsia="標楷體" w:hAnsi="Times New Roman" w:cs="Times New Roman" w:hint="eastAsia"/>
                <w:szCs w:val="28"/>
              </w:rPr>
              <w:t>國際海空</w:t>
            </w:r>
            <w:r>
              <w:rPr>
                <w:rFonts w:ascii="Times New Roman" w:eastAsia="標楷體" w:hAnsi="Times New Roman" w:cs="Times New Roman" w:hint="eastAsia"/>
                <w:szCs w:val="28"/>
              </w:rPr>
              <w:t>貨</w:t>
            </w:r>
            <w:r w:rsidRPr="0027737C">
              <w:rPr>
                <w:rFonts w:ascii="Times New Roman" w:eastAsia="標楷體" w:hAnsi="Times New Roman" w:cs="Times New Roman" w:hint="eastAsia"/>
                <w:szCs w:val="28"/>
              </w:rPr>
              <w:t>運實務</w:t>
            </w:r>
            <w:r>
              <w:rPr>
                <w:rFonts w:ascii="Times New Roman" w:eastAsia="標楷體" w:hAnsi="Times New Roman" w:cs="Times New Roman" w:hint="eastAsia"/>
                <w:szCs w:val="28"/>
              </w:rPr>
              <w:t>]</w:t>
            </w:r>
            <w:r>
              <w:rPr>
                <w:rFonts w:ascii="Times New Roman" w:eastAsia="標楷體" w:hAnsi="Times New Roman" w:cs="Times New Roman" w:hint="eastAsia"/>
                <w:szCs w:val="28"/>
              </w:rPr>
              <w:t>，修改為</w:t>
            </w:r>
            <w:r>
              <w:rPr>
                <w:rFonts w:ascii="Times New Roman" w:eastAsia="標楷體" w:hAnsi="Times New Roman" w:cs="Times New Roman" w:hint="eastAsia"/>
                <w:szCs w:val="28"/>
              </w:rPr>
              <w:t>[</w:t>
            </w:r>
            <w:r>
              <w:rPr>
                <w:rFonts w:ascii="Times New Roman" w:eastAsia="標楷體" w:hAnsi="Times New Roman" w:cs="Times New Roman" w:hint="eastAsia"/>
                <w:szCs w:val="28"/>
              </w:rPr>
              <w:t>國際物流與海空運實務</w:t>
            </w:r>
            <w:r>
              <w:rPr>
                <w:rFonts w:ascii="Times New Roman" w:eastAsia="標楷體" w:hAnsi="Times New Roman" w:cs="Times New Roman" w:hint="eastAsia"/>
                <w:szCs w:val="28"/>
              </w:rPr>
              <w:t>]</w:t>
            </w:r>
          </w:p>
          <w:p w:rsidR="00EE3605" w:rsidRDefault="00EE3605" w:rsidP="008B521C">
            <w:pPr>
              <w:pStyle w:val="ab"/>
              <w:widowControl/>
              <w:numPr>
                <w:ilvl w:val="0"/>
                <w:numId w:val="24"/>
              </w:numPr>
              <w:spacing w:before="100" w:after="100"/>
              <w:rPr>
                <w:rFonts w:ascii="Times New Roman" w:eastAsia="標楷體" w:hAnsi="Times New Roman" w:cs="Times New Roman"/>
              </w:rPr>
            </w:pPr>
            <w:r>
              <w:rPr>
                <w:rFonts w:ascii="Times New Roman" w:eastAsia="標楷體" w:hAnsi="Times New Roman" w:cs="Times New Roman" w:hint="eastAsia"/>
                <w:szCs w:val="28"/>
              </w:rPr>
              <w:t>[</w:t>
            </w:r>
            <w:r>
              <w:rPr>
                <w:rFonts w:ascii="Times New Roman" w:eastAsia="標楷體" w:hAnsi="Times New Roman" w:cs="Times New Roman" w:hint="eastAsia"/>
                <w:szCs w:val="28"/>
              </w:rPr>
              <w:t>跨境電子商務經營與比較</w:t>
            </w:r>
            <w:r>
              <w:rPr>
                <w:rFonts w:ascii="Times New Roman" w:eastAsia="標楷體" w:hAnsi="Times New Roman" w:cs="Times New Roman" w:hint="eastAsia"/>
                <w:szCs w:val="28"/>
              </w:rPr>
              <w:t>]</w:t>
            </w:r>
            <w:r>
              <w:rPr>
                <w:rFonts w:ascii="Times New Roman" w:eastAsia="標楷體" w:hAnsi="Times New Roman" w:cs="Times New Roman" w:hint="eastAsia"/>
                <w:szCs w:val="28"/>
              </w:rPr>
              <w:t>，修改為</w:t>
            </w:r>
            <w:r>
              <w:rPr>
                <w:rFonts w:ascii="Times New Roman" w:eastAsia="標楷體" w:hAnsi="Times New Roman" w:cs="Times New Roman" w:hint="eastAsia"/>
                <w:szCs w:val="28"/>
              </w:rPr>
              <w:t>[</w:t>
            </w:r>
            <w:r>
              <w:rPr>
                <w:rFonts w:ascii="Times New Roman" w:eastAsia="標楷體" w:hAnsi="Times New Roman" w:cs="Times New Roman" w:hint="eastAsia"/>
                <w:szCs w:val="28"/>
              </w:rPr>
              <w:t>電子商務營運與平台管理</w:t>
            </w:r>
            <w:r>
              <w:rPr>
                <w:rFonts w:ascii="Times New Roman" w:eastAsia="標楷體" w:hAnsi="Times New Roman" w:cs="Times New Roman" w:hint="eastAsia"/>
                <w:szCs w:val="28"/>
              </w:rPr>
              <w:t>]</w:t>
            </w:r>
          </w:p>
          <w:p w:rsidR="00EE3605" w:rsidRPr="008B521C" w:rsidRDefault="00EE3605" w:rsidP="008B521C">
            <w:pPr>
              <w:pStyle w:val="ab"/>
              <w:widowControl/>
              <w:numPr>
                <w:ilvl w:val="0"/>
                <w:numId w:val="24"/>
              </w:numPr>
              <w:spacing w:before="100" w:after="100"/>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顧客關係管理</w:t>
            </w:r>
            <w:r>
              <w:rPr>
                <w:rFonts w:ascii="Times New Roman" w:eastAsia="標楷體" w:hAnsi="Times New Roman" w:cs="Times New Roman" w:hint="eastAsia"/>
              </w:rPr>
              <w:t>]</w:t>
            </w:r>
            <w:r>
              <w:rPr>
                <w:rFonts w:ascii="Times New Roman" w:eastAsia="標楷體" w:hAnsi="Times New Roman" w:cs="Times New Roman" w:hint="eastAsia"/>
              </w:rPr>
              <w:t>，修改為</w:t>
            </w:r>
            <w:r>
              <w:rPr>
                <w:rFonts w:ascii="Times New Roman" w:eastAsia="標楷體" w:hAnsi="Times New Roman" w:cs="Times New Roman" w:hint="eastAsia"/>
              </w:rPr>
              <w:t>[</w:t>
            </w:r>
            <w:r>
              <w:rPr>
                <w:rFonts w:ascii="Times New Roman" w:eastAsia="標楷體" w:hAnsi="Times New Roman" w:cs="Times New Roman" w:hint="eastAsia"/>
              </w:rPr>
              <w:t>社群行銷與管理</w:t>
            </w:r>
            <w:r>
              <w:rPr>
                <w:rFonts w:ascii="Times New Roman" w:eastAsia="標楷體" w:hAnsi="Times New Roman" w:cs="Times New Roman" w:hint="eastAsia"/>
              </w:rPr>
              <w:t>]</w:t>
            </w:r>
          </w:p>
        </w:tc>
        <w:tc>
          <w:tcPr>
            <w:tcW w:w="5306" w:type="dxa"/>
            <w:vMerge/>
          </w:tcPr>
          <w:p w:rsidR="00EE3605" w:rsidRDefault="00EE3605" w:rsidP="008B521C">
            <w:pPr>
              <w:pStyle w:val="ab"/>
              <w:widowControl/>
              <w:spacing w:before="100" w:after="100"/>
              <w:rPr>
                <w:rFonts w:ascii="Times New Roman" w:eastAsia="標楷體" w:hAnsi="Times New Roman" w:cs="Times New Roman" w:hint="eastAsia"/>
                <w:szCs w:val="28"/>
              </w:rPr>
            </w:pPr>
          </w:p>
        </w:tc>
      </w:tr>
      <w:tr w:rsidR="00EE3605" w:rsidRPr="000C706F" w:rsidTr="00EE3605">
        <w:trPr>
          <w:trHeight w:val="730"/>
        </w:trPr>
        <w:tc>
          <w:tcPr>
            <w:tcW w:w="995" w:type="dxa"/>
            <w:vAlign w:val="center"/>
          </w:tcPr>
          <w:p w:rsidR="00EE3605" w:rsidRPr="000C706F" w:rsidRDefault="00EE3605"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3</w:t>
            </w:r>
          </w:p>
        </w:tc>
        <w:tc>
          <w:tcPr>
            <w:tcW w:w="6927" w:type="dxa"/>
          </w:tcPr>
          <w:p w:rsidR="00EE3605" w:rsidRPr="004639C2" w:rsidRDefault="008364AC" w:rsidP="009B74E5">
            <w:pPr>
              <w:rPr>
                <w:rFonts w:ascii="Times New Roman" w:eastAsia="標楷體" w:hAnsi="Times New Roman" w:cs="Times New Roman"/>
              </w:rPr>
            </w:pPr>
            <w:r>
              <w:rPr>
                <w:rFonts w:ascii="Times New Roman" w:eastAsia="標楷體" w:hAnsi="Times New Roman" w:cs="Times New Roman" w:hint="eastAsia"/>
              </w:rPr>
              <w:t>規劃部分除現有規劃外，建議新增最近因應數位轉型所引起之議題探討。在虛實整合過程當中數據的角色加重。可在整體的虛實規劃當中搭配數位轉型的三個階段進行分配。</w:t>
            </w:r>
          </w:p>
        </w:tc>
        <w:tc>
          <w:tcPr>
            <w:tcW w:w="5306" w:type="dxa"/>
            <w:vMerge/>
          </w:tcPr>
          <w:p w:rsidR="00EE3605" w:rsidRPr="004639C2" w:rsidRDefault="00EE3605" w:rsidP="009B74E5">
            <w:pPr>
              <w:rPr>
                <w:rFonts w:ascii="Times New Roman" w:eastAsia="標楷體" w:hAnsi="Times New Roman" w:cs="Times New Roman"/>
              </w:rPr>
            </w:pPr>
          </w:p>
        </w:tc>
      </w:tr>
    </w:tbl>
    <w:p w:rsidR="00581F81" w:rsidRPr="00581F81" w:rsidRDefault="00581F81" w:rsidP="00581F81">
      <w:pPr>
        <w:pStyle w:val="a3"/>
        <w:ind w:leftChars="0" w:left="720"/>
        <w:rPr>
          <w:rFonts w:ascii="Times New Roman" w:eastAsia="標楷體" w:hAnsi="Times New Roman" w:cs="Times New Roman"/>
          <w:b/>
          <w:sz w:val="28"/>
          <w:szCs w:val="28"/>
        </w:rPr>
      </w:pPr>
    </w:p>
    <w:p w:rsidR="00F23706" w:rsidRDefault="00F23706" w:rsidP="00B71D44">
      <w:pPr>
        <w:pStyle w:val="a3"/>
        <w:numPr>
          <w:ilvl w:val="0"/>
          <w:numId w:val="5"/>
        </w:numPr>
        <w:ind w:leftChars="0"/>
        <w:rPr>
          <w:rFonts w:ascii="Times New Roman" w:eastAsia="標楷體" w:hAnsi="Times New Roman" w:cs="Times New Roman"/>
          <w:b/>
          <w:sz w:val="28"/>
          <w:szCs w:val="28"/>
        </w:rPr>
      </w:pPr>
      <w:r w:rsidRPr="00FC4C12">
        <w:rPr>
          <w:rFonts w:ascii="Times New Roman" w:eastAsia="標楷體" w:hAnsi="Times New Roman" w:cs="Times New Roman"/>
          <w:b/>
          <w:sz w:val="28"/>
          <w:szCs w:val="28"/>
        </w:rPr>
        <w:t>學</w:t>
      </w:r>
      <w:r w:rsidR="00B30D8A">
        <w:rPr>
          <w:rFonts w:ascii="Times New Roman" w:eastAsia="標楷體" w:hAnsi="Times New Roman" w:cs="Times New Roman" w:hint="eastAsia"/>
          <w:b/>
          <w:sz w:val="28"/>
          <w:szCs w:val="28"/>
        </w:rPr>
        <w:t>程</w:t>
      </w:r>
      <w:r w:rsidRPr="00FC4C12">
        <w:rPr>
          <w:rFonts w:ascii="Times New Roman" w:eastAsia="標楷體" w:hAnsi="Times New Roman" w:cs="Times New Roman"/>
          <w:b/>
          <w:sz w:val="28"/>
          <w:szCs w:val="28"/>
        </w:rPr>
        <w:t>教學品質之評鑑意見</w:t>
      </w:r>
    </w:p>
    <w:tbl>
      <w:tblPr>
        <w:tblStyle w:val="a4"/>
        <w:tblW w:w="0" w:type="auto"/>
        <w:tblInd w:w="720" w:type="dxa"/>
        <w:tblLook w:val="04A0" w:firstRow="1" w:lastRow="0" w:firstColumn="1" w:lastColumn="0" w:noHBand="0" w:noVBand="1"/>
      </w:tblPr>
      <w:tblGrid>
        <w:gridCol w:w="1016"/>
        <w:gridCol w:w="6906"/>
        <w:gridCol w:w="5306"/>
      </w:tblGrid>
      <w:tr w:rsidR="00EE3605" w:rsidRPr="000C706F" w:rsidTr="00EE3605">
        <w:tc>
          <w:tcPr>
            <w:tcW w:w="1016" w:type="dxa"/>
            <w:vAlign w:val="center"/>
          </w:tcPr>
          <w:p w:rsidR="00EE3605" w:rsidRPr="000C706F" w:rsidRDefault="00EE3605"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6906" w:type="dxa"/>
          </w:tcPr>
          <w:p w:rsidR="00EE3605" w:rsidRPr="005A283E" w:rsidRDefault="00EE3605" w:rsidP="005A283E">
            <w:pPr>
              <w:rPr>
                <w:rFonts w:ascii="Times New Roman" w:eastAsia="標楷體" w:hAnsi="Times New Roman" w:cs="Times New Roman"/>
              </w:rPr>
            </w:pPr>
            <w:r>
              <w:rPr>
                <w:rFonts w:ascii="Times New Roman" w:eastAsia="標楷體" w:hAnsi="Times New Roman" w:cs="Times New Roman" w:hint="eastAsia"/>
              </w:rPr>
              <w:t>近三年</w:t>
            </w:r>
            <w:r>
              <w:rPr>
                <w:rFonts w:ascii="Times New Roman" w:eastAsia="標楷體" w:hAnsi="Times New Roman" w:cs="Times New Roman" w:hint="eastAsia"/>
              </w:rPr>
              <w:t xml:space="preserve"> (</w:t>
            </w:r>
            <w:r w:rsidRPr="005C7962">
              <w:rPr>
                <w:rFonts w:ascii="Times New Roman" w:eastAsia="標楷體" w:hAnsi="Times New Roman" w:cs="Times New Roman" w:hint="eastAsia"/>
              </w:rPr>
              <w:t>108-110</w:t>
            </w:r>
            <w:r w:rsidRPr="005C7962">
              <w:rPr>
                <w:rFonts w:ascii="Times New Roman" w:eastAsia="標楷體" w:hAnsi="Times New Roman" w:cs="Times New Roman" w:hint="eastAsia"/>
              </w:rPr>
              <w:t>學年度</w:t>
            </w:r>
            <w:r>
              <w:rPr>
                <w:rFonts w:ascii="Times New Roman" w:eastAsia="標楷體" w:hAnsi="Times New Roman" w:cs="Times New Roman" w:hint="eastAsia"/>
              </w:rPr>
              <w:t>)</w:t>
            </w:r>
            <w:r>
              <w:rPr>
                <w:rFonts w:ascii="Times New Roman" w:eastAsia="標楷體" w:hAnsi="Times New Roman" w:cs="Times New Roman" w:hint="eastAsia"/>
              </w:rPr>
              <w:t>，每學期</w:t>
            </w:r>
            <w:r w:rsidRPr="005C7962">
              <w:rPr>
                <w:rFonts w:ascii="Times New Roman" w:eastAsia="標楷體" w:hAnsi="Times New Roman" w:cs="Times New Roman" w:hint="eastAsia"/>
              </w:rPr>
              <w:t>學程教學評量滿意度</w:t>
            </w:r>
            <w:r>
              <w:rPr>
                <w:rFonts w:ascii="Times New Roman" w:eastAsia="標楷體" w:hAnsi="Times New Roman" w:cs="Times New Roman" w:hint="eastAsia"/>
              </w:rPr>
              <w:t>之平均分數皆達</w:t>
            </w:r>
            <w:r>
              <w:rPr>
                <w:rFonts w:ascii="Times New Roman" w:eastAsia="標楷體" w:hAnsi="Times New Roman" w:cs="Times New Roman" w:hint="eastAsia"/>
              </w:rPr>
              <w:t xml:space="preserve"> </w:t>
            </w:r>
            <w:r>
              <w:rPr>
                <w:rFonts w:ascii="Times New Roman" w:eastAsia="標楷體" w:hAnsi="Times New Roman" w:cs="Times New Roman"/>
              </w:rPr>
              <w:t xml:space="preserve">4.1 </w:t>
            </w:r>
            <w:r>
              <w:rPr>
                <w:rFonts w:ascii="Times New Roman" w:eastAsia="標楷體" w:hAnsi="Times New Roman" w:cs="Times New Roman" w:hint="eastAsia"/>
              </w:rPr>
              <w:t>分以上，顯示在教學品質上</w:t>
            </w:r>
            <w:r w:rsidRPr="00875CE8">
              <w:rPr>
                <w:rFonts w:ascii="Times New Roman" w:eastAsia="標楷體" w:hAnsi="Times New Roman" w:cs="Times New Roman" w:hint="eastAsia"/>
              </w:rPr>
              <w:t>能獲得學生高度肯定</w:t>
            </w:r>
            <w:r>
              <w:rPr>
                <w:rFonts w:ascii="Times New Roman" w:eastAsia="標楷體" w:hAnsi="Times New Roman" w:cs="Times New Roman" w:hint="eastAsia"/>
              </w:rPr>
              <w:t>。</w:t>
            </w:r>
          </w:p>
        </w:tc>
        <w:tc>
          <w:tcPr>
            <w:tcW w:w="5306" w:type="dxa"/>
            <w:vMerge w:val="restart"/>
          </w:tcPr>
          <w:p w:rsidR="00EE3605" w:rsidRDefault="00EE3605" w:rsidP="005A283E">
            <w:pPr>
              <w:rPr>
                <w:rFonts w:ascii="Times New Roman" w:eastAsia="標楷體" w:hAnsi="Times New Roman" w:cs="Times New Roman" w:hint="eastAsia"/>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EE3605" w:rsidRPr="000C706F" w:rsidTr="00EE3605">
        <w:tc>
          <w:tcPr>
            <w:tcW w:w="1016" w:type="dxa"/>
            <w:vAlign w:val="center"/>
          </w:tcPr>
          <w:p w:rsidR="00EE3605" w:rsidRPr="000C706F" w:rsidRDefault="00EE3605"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6906" w:type="dxa"/>
          </w:tcPr>
          <w:p w:rsidR="00EE3605" w:rsidRPr="00620D3F" w:rsidRDefault="00EE3605" w:rsidP="00620D3F">
            <w:pPr>
              <w:pStyle w:val="ab"/>
              <w:widowControl/>
              <w:spacing w:before="100" w:after="100"/>
              <w:rPr>
                <w:rFonts w:ascii="Times New Roman" w:eastAsia="標楷體" w:hAnsi="Times New Roman" w:cs="Times New Roman"/>
              </w:rPr>
            </w:pPr>
            <w:r>
              <w:rPr>
                <w:rFonts w:ascii="Times New Roman" w:eastAsia="標楷體" w:hAnsi="Times New Roman" w:cs="Times New Roman" w:hint="eastAsia"/>
              </w:rPr>
              <w:t>檢視本學程內容橫跨各系主力科目並獲得支援，</w:t>
            </w:r>
            <w:r w:rsidRPr="00FE01FA">
              <w:rPr>
                <w:rFonts w:ascii="Times New Roman" w:eastAsia="標楷體" w:hAnsi="Times New Roman" w:cs="Times New Roman" w:hint="eastAsia"/>
              </w:rPr>
              <w:t>課程連結</w:t>
            </w:r>
            <w:r>
              <w:rPr>
                <w:rFonts w:ascii="Times New Roman" w:eastAsia="標楷體" w:hAnsi="Times New Roman" w:cs="Times New Roman" w:hint="eastAsia"/>
              </w:rPr>
              <w:t>專業實作工坊</w:t>
            </w:r>
            <w:r w:rsidRPr="00FE01FA">
              <w:rPr>
                <w:rFonts w:ascii="Times New Roman" w:eastAsia="標楷體" w:hAnsi="Times New Roman" w:cs="Times New Roman" w:hint="eastAsia"/>
              </w:rPr>
              <w:t>及軟硬體支援</w:t>
            </w:r>
            <w:r>
              <w:rPr>
                <w:rFonts w:ascii="Times New Roman" w:eastAsia="標楷體" w:hAnsi="Times New Roman" w:cs="Times New Roman" w:hint="eastAsia"/>
              </w:rPr>
              <w:t>，讓學生動手做得以加深學習效果，維繫學習品質。建議較為實務專業及國際物流證照課程可以朝向</w:t>
            </w:r>
            <w:r>
              <w:rPr>
                <w:rFonts w:ascii="Times New Roman" w:eastAsia="標楷體" w:hAnsi="Times New Roman" w:cs="Times New Roman" w:hint="eastAsia"/>
              </w:rPr>
              <w:lastRenderedPageBreak/>
              <w:t>[</w:t>
            </w:r>
            <w:r>
              <w:rPr>
                <w:rFonts w:ascii="Times New Roman" w:eastAsia="標楷體" w:hAnsi="Times New Roman" w:cs="Times New Roman" w:hint="eastAsia"/>
              </w:rPr>
              <w:t>業師協同教學</w:t>
            </w:r>
            <w:r>
              <w:rPr>
                <w:rFonts w:ascii="Times New Roman" w:eastAsia="標楷體" w:hAnsi="Times New Roman" w:cs="Times New Roman" w:hint="eastAsia"/>
              </w:rPr>
              <w:t>]</w:t>
            </w:r>
            <w:r>
              <w:rPr>
                <w:rFonts w:ascii="Times New Roman" w:eastAsia="標楷體" w:hAnsi="Times New Roman" w:cs="Times New Roman" w:hint="eastAsia"/>
              </w:rPr>
              <w:t>的規劃方式，借力使力，同步讓學生獲得與時俱進的專業知識，與就業市場接軌。</w:t>
            </w:r>
          </w:p>
        </w:tc>
        <w:tc>
          <w:tcPr>
            <w:tcW w:w="5306" w:type="dxa"/>
            <w:vMerge/>
          </w:tcPr>
          <w:p w:rsidR="00EE3605" w:rsidRDefault="00EE3605" w:rsidP="00620D3F">
            <w:pPr>
              <w:pStyle w:val="ab"/>
              <w:widowControl/>
              <w:spacing w:before="100" w:after="100"/>
              <w:rPr>
                <w:rFonts w:ascii="Times New Roman" w:eastAsia="標楷體" w:hAnsi="Times New Roman" w:cs="Times New Roman" w:hint="eastAsia"/>
              </w:rPr>
            </w:pPr>
          </w:p>
        </w:tc>
      </w:tr>
      <w:tr w:rsidR="00EE3605" w:rsidRPr="000C706F" w:rsidTr="00EE3605">
        <w:trPr>
          <w:trHeight w:val="730"/>
        </w:trPr>
        <w:tc>
          <w:tcPr>
            <w:tcW w:w="1016" w:type="dxa"/>
            <w:vAlign w:val="center"/>
          </w:tcPr>
          <w:p w:rsidR="00EE3605" w:rsidRPr="000C706F" w:rsidRDefault="00EE3605"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lastRenderedPageBreak/>
              <w:t>委員</w:t>
            </w:r>
            <w:r w:rsidRPr="000C706F">
              <w:rPr>
                <w:rFonts w:ascii="Times New Roman" w:eastAsia="標楷體" w:hAnsi="Times New Roman" w:hint="eastAsia"/>
              </w:rPr>
              <w:t>3</w:t>
            </w:r>
          </w:p>
        </w:tc>
        <w:tc>
          <w:tcPr>
            <w:tcW w:w="6906" w:type="dxa"/>
          </w:tcPr>
          <w:p w:rsidR="00EE3605" w:rsidRPr="00E67EE5" w:rsidRDefault="008364AC" w:rsidP="00E67EE5">
            <w:pPr>
              <w:rPr>
                <w:rFonts w:ascii="Times New Roman" w:eastAsia="標楷體" w:hAnsi="Times New Roman" w:cs="Times New Roman"/>
              </w:rPr>
            </w:pPr>
            <w:r>
              <w:rPr>
                <w:rFonts w:ascii="Times New Roman" w:eastAsia="標楷體" w:hAnsi="Times New Roman" w:cs="Times New Roman" w:hint="eastAsia"/>
              </w:rPr>
              <w:t>由產業互動良好顯示出整體的教學與當初的規劃一制。讓同學有機會在這樣的運作當中更加的了解，為何而訓</w:t>
            </w:r>
            <w:r>
              <w:rPr>
                <w:rFonts w:ascii="Times New Roman" w:eastAsia="標楷體" w:hAnsi="Times New Roman" w:cs="Times New Roman" w:hint="eastAsia"/>
              </w:rPr>
              <w:t>(</w:t>
            </w:r>
            <w:r>
              <w:rPr>
                <w:rFonts w:ascii="Times New Roman" w:eastAsia="標楷體" w:hAnsi="Times New Roman" w:cs="Times New Roman" w:hint="eastAsia"/>
              </w:rPr>
              <w:t>為什麼要學這些</w:t>
            </w:r>
            <w:r>
              <w:rPr>
                <w:rFonts w:ascii="Times New Roman" w:eastAsia="標楷體" w:hAnsi="Times New Roman" w:cs="Times New Roman" w:hint="eastAsia"/>
              </w:rPr>
              <w:t>)</w:t>
            </w:r>
            <w:r>
              <w:rPr>
                <w:rFonts w:ascii="Times New Roman" w:eastAsia="標楷體" w:hAnsi="Times New Roman" w:cs="Times New Roman" w:hint="eastAsia"/>
              </w:rPr>
              <w:t>，進而在未來可以訓用合一</w:t>
            </w:r>
            <w:r>
              <w:rPr>
                <w:rFonts w:ascii="Times New Roman" w:eastAsia="標楷體" w:hAnsi="Times New Roman" w:cs="Times New Roman" w:hint="eastAsia"/>
              </w:rPr>
              <w:t>(</w:t>
            </w:r>
            <w:r>
              <w:rPr>
                <w:rFonts w:ascii="Times New Roman" w:eastAsia="標楷體" w:hAnsi="Times New Roman" w:cs="Times New Roman" w:hint="eastAsia"/>
              </w:rPr>
              <w:t>學校學習到的可以實際的運用在產業界</w:t>
            </w:r>
            <w:r>
              <w:rPr>
                <w:rFonts w:ascii="Times New Roman" w:eastAsia="標楷體" w:hAnsi="Times New Roman" w:cs="Times New Roman" w:hint="eastAsia"/>
              </w:rPr>
              <w:t>)</w:t>
            </w:r>
            <w:r>
              <w:rPr>
                <w:rFonts w:ascii="Times New Roman" w:eastAsia="標楷體" w:hAnsi="Times New Roman" w:cs="Times New Roman" w:hint="eastAsia"/>
              </w:rPr>
              <w:t>。因此給予學程的品質高度的肯定。</w:t>
            </w:r>
          </w:p>
        </w:tc>
        <w:tc>
          <w:tcPr>
            <w:tcW w:w="5306" w:type="dxa"/>
            <w:vMerge/>
          </w:tcPr>
          <w:p w:rsidR="00EE3605" w:rsidRPr="00E67EE5" w:rsidRDefault="00EE3605" w:rsidP="00E67EE5">
            <w:pPr>
              <w:rPr>
                <w:rFonts w:ascii="Times New Roman" w:eastAsia="標楷體" w:hAnsi="Times New Roman" w:cs="Times New Roman"/>
              </w:rPr>
            </w:pPr>
          </w:p>
        </w:tc>
      </w:tr>
    </w:tbl>
    <w:p w:rsidR="00581F81" w:rsidRDefault="00581F81" w:rsidP="00581F81">
      <w:pPr>
        <w:pStyle w:val="a3"/>
        <w:ind w:leftChars="0" w:left="720"/>
        <w:rPr>
          <w:rFonts w:ascii="Times New Roman" w:eastAsia="標楷體" w:hAnsi="Times New Roman" w:cs="Times New Roman"/>
          <w:b/>
          <w:sz w:val="28"/>
          <w:szCs w:val="28"/>
        </w:rPr>
      </w:pPr>
    </w:p>
    <w:p w:rsidR="00F23706" w:rsidRDefault="00F23706" w:rsidP="00B71D44">
      <w:pPr>
        <w:pStyle w:val="a3"/>
        <w:numPr>
          <w:ilvl w:val="0"/>
          <w:numId w:val="5"/>
        </w:numPr>
        <w:ind w:leftChars="0"/>
        <w:rPr>
          <w:rFonts w:ascii="Times New Roman" w:eastAsia="標楷體" w:hAnsi="Times New Roman" w:cs="Times New Roman"/>
          <w:b/>
          <w:sz w:val="28"/>
          <w:szCs w:val="28"/>
        </w:rPr>
      </w:pPr>
      <w:r w:rsidRPr="00FC4C12">
        <w:rPr>
          <w:rFonts w:ascii="Times New Roman" w:eastAsia="標楷體" w:hAnsi="Times New Roman" w:cs="Times New Roman"/>
          <w:b/>
          <w:sz w:val="28"/>
          <w:szCs w:val="28"/>
        </w:rPr>
        <w:t>學程執行成</w:t>
      </w:r>
      <w:r w:rsidR="00B30D8A">
        <w:rPr>
          <w:rFonts w:ascii="Times New Roman" w:eastAsia="標楷體" w:hAnsi="Times New Roman" w:cs="Times New Roman" w:hint="eastAsia"/>
          <w:b/>
          <w:sz w:val="28"/>
          <w:szCs w:val="28"/>
        </w:rPr>
        <w:t>效</w:t>
      </w:r>
      <w:r w:rsidRPr="00FC4C12">
        <w:rPr>
          <w:rFonts w:ascii="Times New Roman" w:eastAsia="標楷體" w:hAnsi="Times New Roman" w:cs="Times New Roman"/>
          <w:b/>
          <w:sz w:val="28"/>
          <w:szCs w:val="28"/>
        </w:rPr>
        <w:t>之評鑑意見</w:t>
      </w:r>
    </w:p>
    <w:tbl>
      <w:tblPr>
        <w:tblStyle w:val="a4"/>
        <w:tblW w:w="0" w:type="auto"/>
        <w:tblInd w:w="720" w:type="dxa"/>
        <w:tblLook w:val="04A0" w:firstRow="1" w:lastRow="0" w:firstColumn="1" w:lastColumn="0" w:noHBand="0" w:noVBand="1"/>
      </w:tblPr>
      <w:tblGrid>
        <w:gridCol w:w="998"/>
        <w:gridCol w:w="6924"/>
        <w:gridCol w:w="5306"/>
      </w:tblGrid>
      <w:tr w:rsidR="00EE3605" w:rsidRPr="000C706F" w:rsidTr="00EE3605">
        <w:trPr>
          <w:trHeight w:val="730"/>
        </w:trPr>
        <w:tc>
          <w:tcPr>
            <w:tcW w:w="998" w:type="dxa"/>
            <w:vAlign w:val="center"/>
          </w:tcPr>
          <w:p w:rsidR="00EE3605" w:rsidRPr="000C706F" w:rsidRDefault="00EE3605"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6924" w:type="dxa"/>
          </w:tcPr>
          <w:p w:rsidR="00EE3605" w:rsidRPr="00395816" w:rsidRDefault="00EE3605" w:rsidP="00395816">
            <w:pPr>
              <w:pStyle w:val="ab"/>
              <w:spacing w:line="288" w:lineRule="auto"/>
              <w:rPr>
                <w:rFonts w:ascii="Times New Roman" w:eastAsia="標楷體" w:hAnsi="Times New Roman" w:cs="Times New Roman"/>
              </w:rPr>
            </w:pPr>
            <w:r>
              <w:rPr>
                <w:rFonts w:ascii="Times New Roman" w:eastAsia="標楷體" w:hAnsi="Times New Roman" w:cs="Times New Roman" w:hint="eastAsia"/>
              </w:rPr>
              <w:t>學程之</w:t>
            </w:r>
            <w:r w:rsidRPr="00875CE8">
              <w:rPr>
                <w:rFonts w:ascii="Times New Roman" w:eastAsia="標楷體" w:hAnsi="Times New Roman" w:cs="Times New Roman" w:hint="eastAsia"/>
              </w:rPr>
              <w:t>課程滿意度</w:t>
            </w:r>
            <w:r>
              <w:rPr>
                <w:rFonts w:ascii="Times New Roman" w:eastAsia="標楷體" w:hAnsi="Times New Roman" w:cs="Times New Roman" w:hint="eastAsia"/>
              </w:rPr>
              <w:t>高，另外可以考慮補助學生考取證照之相關費用，藉此提升學生考證照之意願，進而提升</w:t>
            </w:r>
            <w:r w:rsidRPr="00875CE8">
              <w:rPr>
                <w:rFonts w:ascii="Times New Roman" w:eastAsia="標楷體" w:hAnsi="Times New Roman" w:cs="Times New Roman" w:hint="eastAsia"/>
              </w:rPr>
              <w:t>取證比率</w:t>
            </w:r>
            <w:r>
              <w:rPr>
                <w:rFonts w:ascii="Times New Roman" w:eastAsia="標楷體" w:hAnsi="Times New Roman" w:cs="Times New Roman" w:hint="eastAsia"/>
              </w:rPr>
              <w:t>。然而，在</w:t>
            </w:r>
            <w:r>
              <w:rPr>
                <w:rFonts w:ascii="Times New Roman" w:eastAsia="標楷體" w:hAnsi="Times New Roman" w:cs="Times New Roman" w:hint="eastAsia"/>
              </w:rPr>
              <w:t xml:space="preserve"> </w:t>
            </w:r>
            <w:r>
              <w:rPr>
                <w:rFonts w:ascii="Times New Roman" w:eastAsia="標楷體" w:hAnsi="Times New Roman" w:cs="Times New Roman"/>
              </w:rPr>
              <w:t xml:space="preserve">110 </w:t>
            </w:r>
            <w:r>
              <w:rPr>
                <w:rFonts w:ascii="Times New Roman" w:eastAsia="標楷體" w:hAnsi="Times New Roman" w:cs="Times New Roman" w:hint="eastAsia"/>
              </w:rPr>
              <w:t>學年度之</w:t>
            </w:r>
            <w:r w:rsidRPr="003221C1">
              <w:rPr>
                <w:rFonts w:ascii="Times New Roman" w:eastAsia="標楷體" w:hAnsi="Times New Roman" w:cs="Times New Roman" w:hint="eastAsia"/>
              </w:rPr>
              <w:t>修習人數</w:t>
            </w:r>
            <w:r>
              <w:rPr>
                <w:rFonts w:ascii="Times New Roman" w:eastAsia="標楷體" w:hAnsi="Times New Roman" w:cs="Times New Roman" w:hint="eastAsia"/>
              </w:rPr>
              <w:t>較前兩學年降低不少，需進一步地</w:t>
            </w:r>
            <w:r w:rsidRPr="003221C1">
              <w:rPr>
                <w:rFonts w:ascii="Times New Roman" w:eastAsia="標楷體" w:hAnsi="Times New Roman" w:cs="Times New Roman" w:hint="eastAsia"/>
              </w:rPr>
              <w:t>思考招生策略</w:t>
            </w:r>
            <w:r>
              <w:rPr>
                <w:rFonts w:ascii="Times New Roman" w:eastAsia="標楷體" w:hAnsi="Times New Roman" w:cs="Times New Roman" w:hint="eastAsia"/>
              </w:rPr>
              <w:t>，並且</w:t>
            </w:r>
            <w:r w:rsidRPr="003221C1">
              <w:rPr>
                <w:rFonts w:ascii="Times New Roman" w:eastAsia="標楷體" w:hAnsi="Times New Roman" w:cs="Times New Roman" w:hint="eastAsia"/>
              </w:rPr>
              <w:t>強化招生誘因</w:t>
            </w:r>
            <w:r>
              <w:rPr>
                <w:rFonts w:ascii="Times New Roman" w:eastAsia="標楷體" w:hAnsi="Times New Roman" w:cs="Times New Roman" w:hint="eastAsia"/>
              </w:rPr>
              <w:t>。</w:t>
            </w:r>
          </w:p>
        </w:tc>
        <w:tc>
          <w:tcPr>
            <w:tcW w:w="5306" w:type="dxa"/>
            <w:vMerge w:val="restart"/>
          </w:tcPr>
          <w:p w:rsidR="00EE3605" w:rsidRDefault="00EE3605" w:rsidP="00395816">
            <w:pPr>
              <w:pStyle w:val="ab"/>
              <w:spacing w:line="288" w:lineRule="auto"/>
              <w:rPr>
                <w:rFonts w:ascii="Times New Roman" w:eastAsia="標楷體" w:hAnsi="Times New Roman" w:cs="Times New Roman" w:hint="eastAsia"/>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EE3605" w:rsidRPr="000C706F" w:rsidTr="00EE3605">
        <w:tc>
          <w:tcPr>
            <w:tcW w:w="998" w:type="dxa"/>
            <w:vAlign w:val="center"/>
          </w:tcPr>
          <w:p w:rsidR="00EE3605" w:rsidRPr="000C706F" w:rsidRDefault="00EE3605"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6924" w:type="dxa"/>
          </w:tcPr>
          <w:p w:rsidR="00EE3605" w:rsidRPr="008B521C" w:rsidRDefault="00EE3605" w:rsidP="008B521C">
            <w:pPr>
              <w:pStyle w:val="ab"/>
              <w:widowControl/>
              <w:spacing w:before="100" w:after="100"/>
              <w:rPr>
                <w:rFonts w:ascii="Times New Roman" w:eastAsia="標楷體" w:hAnsi="Times New Roman" w:cs="Times New Roman"/>
              </w:rPr>
            </w:pPr>
            <w:r>
              <w:rPr>
                <w:rFonts w:ascii="Times New Roman" w:eastAsia="標楷體" w:hAnsi="Times New Roman" w:cs="Times New Roman" w:hint="eastAsia"/>
              </w:rPr>
              <w:t>檢視本學程要求學生以修習</w:t>
            </w:r>
            <w:r>
              <w:rPr>
                <w:rFonts w:ascii="Times New Roman" w:eastAsia="標楷體" w:hAnsi="Times New Roman" w:cs="Times New Roman" w:hint="eastAsia"/>
              </w:rPr>
              <w:t>2</w:t>
            </w:r>
            <w:r>
              <w:rPr>
                <w:rFonts w:ascii="Times New Roman" w:eastAsia="標楷體" w:hAnsi="Times New Roman" w:cs="Times New Roman"/>
              </w:rPr>
              <w:t>0</w:t>
            </w:r>
            <w:r>
              <w:rPr>
                <w:rFonts w:ascii="Times New Roman" w:eastAsia="標楷體" w:hAnsi="Times New Roman" w:cs="Times New Roman" w:hint="eastAsia"/>
              </w:rPr>
              <w:t>學分、鼓勵考取專業國際證照；刺激學生研究探索潛力輔以製作專題及常接地契到企業實習，扎實的循序漸進課程，學生應能獲得重大學習成效。</w:t>
            </w:r>
          </w:p>
        </w:tc>
        <w:tc>
          <w:tcPr>
            <w:tcW w:w="5306" w:type="dxa"/>
            <w:vMerge/>
          </w:tcPr>
          <w:p w:rsidR="00EE3605" w:rsidRDefault="00EE3605" w:rsidP="008B521C">
            <w:pPr>
              <w:pStyle w:val="ab"/>
              <w:widowControl/>
              <w:spacing w:before="100" w:after="100"/>
              <w:rPr>
                <w:rFonts w:ascii="Times New Roman" w:eastAsia="標楷體" w:hAnsi="Times New Roman" w:cs="Times New Roman" w:hint="eastAsia"/>
              </w:rPr>
            </w:pPr>
          </w:p>
        </w:tc>
      </w:tr>
      <w:tr w:rsidR="00EE3605" w:rsidRPr="000C706F" w:rsidTr="00EE3605">
        <w:tc>
          <w:tcPr>
            <w:tcW w:w="998" w:type="dxa"/>
            <w:vAlign w:val="center"/>
          </w:tcPr>
          <w:p w:rsidR="00EE3605" w:rsidRPr="000C706F" w:rsidRDefault="00EE3605"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3</w:t>
            </w:r>
          </w:p>
        </w:tc>
        <w:tc>
          <w:tcPr>
            <w:tcW w:w="6924" w:type="dxa"/>
          </w:tcPr>
          <w:p w:rsidR="00EE3605" w:rsidRPr="00E67EE5" w:rsidRDefault="008364AC" w:rsidP="00E67EE5">
            <w:pPr>
              <w:rPr>
                <w:rFonts w:ascii="Times New Roman" w:eastAsia="標楷體" w:hAnsi="Times New Roman" w:cs="Times New Roman"/>
              </w:rPr>
            </w:pPr>
            <w:r>
              <w:rPr>
                <w:rFonts w:ascii="Times New Roman" w:eastAsia="標楷體" w:hAnsi="Times New Roman" w:cs="Times New Roman" w:hint="eastAsia"/>
              </w:rPr>
              <w:t>由</w:t>
            </w:r>
            <w:r w:rsidRPr="00A61101">
              <w:rPr>
                <w:rFonts w:ascii="Times New Roman" w:eastAsia="標楷體" w:hAnsi="Times New Roman" w:cs="Times New Roman" w:hint="eastAsia"/>
              </w:rPr>
              <w:t>學分學程教學評量滿意度</w:t>
            </w:r>
            <w:r>
              <w:rPr>
                <w:rFonts w:ascii="Times New Roman" w:eastAsia="標楷體" w:hAnsi="Times New Roman" w:cs="Times New Roman" w:hint="eastAsia"/>
              </w:rPr>
              <w:t>高與同學取得證照的比例高呈現出教學品質優良事實。</w:t>
            </w:r>
          </w:p>
        </w:tc>
        <w:tc>
          <w:tcPr>
            <w:tcW w:w="5306" w:type="dxa"/>
            <w:vMerge/>
          </w:tcPr>
          <w:p w:rsidR="00EE3605" w:rsidRPr="00E67EE5" w:rsidRDefault="00EE3605" w:rsidP="00E67EE5">
            <w:pPr>
              <w:rPr>
                <w:rFonts w:ascii="Times New Roman" w:eastAsia="標楷體" w:hAnsi="Times New Roman" w:cs="Times New Roman"/>
              </w:rPr>
            </w:pPr>
          </w:p>
        </w:tc>
      </w:tr>
    </w:tbl>
    <w:p w:rsidR="00581F81" w:rsidRDefault="00581F81" w:rsidP="00581F81">
      <w:pPr>
        <w:pStyle w:val="a3"/>
        <w:ind w:leftChars="0" w:left="720"/>
        <w:rPr>
          <w:rFonts w:ascii="Times New Roman" w:eastAsia="標楷體" w:hAnsi="Times New Roman" w:cs="Times New Roman"/>
          <w:b/>
          <w:sz w:val="28"/>
          <w:szCs w:val="28"/>
        </w:rPr>
      </w:pPr>
    </w:p>
    <w:p w:rsidR="00F23706" w:rsidRDefault="00F23706" w:rsidP="00B71D44">
      <w:pPr>
        <w:pStyle w:val="a3"/>
        <w:numPr>
          <w:ilvl w:val="0"/>
          <w:numId w:val="5"/>
        </w:numPr>
        <w:ind w:leftChars="0"/>
        <w:rPr>
          <w:rFonts w:ascii="Times New Roman" w:eastAsia="標楷體" w:hAnsi="Times New Roman" w:cs="Times New Roman"/>
          <w:b/>
          <w:sz w:val="28"/>
          <w:szCs w:val="28"/>
        </w:rPr>
      </w:pPr>
      <w:r w:rsidRPr="00FC4C12">
        <w:rPr>
          <w:rFonts w:ascii="Times New Roman" w:eastAsia="標楷體" w:hAnsi="Times New Roman" w:cs="Times New Roman"/>
          <w:b/>
          <w:sz w:val="28"/>
          <w:szCs w:val="28"/>
        </w:rPr>
        <w:t>學程特色表現之評鑑意見</w:t>
      </w:r>
    </w:p>
    <w:tbl>
      <w:tblPr>
        <w:tblStyle w:val="a4"/>
        <w:tblW w:w="0" w:type="auto"/>
        <w:tblInd w:w="720" w:type="dxa"/>
        <w:tblLook w:val="04A0" w:firstRow="1" w:lastRow="0" w:firstColumn="1" w:lastColumn="0" w:noHBand="0" w:noVBand="1"/>
      </w:tblPr>
      <w:tblGrid>
        <w:gridCol w:w="1016"/>
        <w:gridCol w:w="6906"/>
        <w:gridCol w:w="5306"/>
      </w:tblGrid>
      <w:tr w:rsidR="00EE3605" w:rsidRPr="000C706F" w:rsidTr="00EE3605">
        <w:tc>
          <w:tcPr>
            <w:tcW w:w="1016" w:type="dxa"/>
            <w:vAlign w:val="center"/>
          </w:tcPr>
          <w:p w:rsidR="00EE3605" w:rsidRPr="000C706F" w:rsidRDefault="00EE3605"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lastRenderedPageBreak/>
              <w:t>委員</w:t>
            </w:r>
            <w:r w:rsidRPr="000C706F">
              <w:rPr>
                <w:rFonts w:ascii="Times New Roman" w:eastAsia="標楷體" w:hAnsi="Times New Roman" w:hint="eastAsia"/>
              </w:rPr>
              <w:t>1</w:t>
            </w:r>
          </w:p>
        </w:tc>
        <w:tc>
          <w:tcPr>
            <w:tcW w:w="6906" w:type="dxa"/>
          </w:tcPr>
          <w:p w:rsidR="00EE3605" w:rsidRPr="00395816" w:rsidRDefault="00EE3605" w:rsidP="00395816">
            <w:pPr>
              <w:pStyle w:val="ab"/>
              <w:spacing w:line="288" w:lineRule="auto"/>
              <w:rPr>
                <w:rFonts w:ascii="Times New Roman" w:eastAsia="標楷體" w:hAnsi="Times New Roman" w:cs="Times New Roman"/>
              </w:rPr>
            </w:pPr>
            <w:r>
              <w:rPr>
                <w:rFonts w:ascii="Times New Roman" w:eastAsia="標楷體" w:hAnsi="Times New Roman" w:cs="Times New Roman" w:hint="eastAsia"/>
              </w:rPr>
              <w:t>學程培養學生成為</w:t>
            </w:r>
            <w:r w:rsidRPr="006E18CE">
              <w:rPr>
                <w:rFonts w:ascii="Times New Roman" w:eastAsia="標楷體" w:hAnsi="Times New Roman" w:cs="Times New Roman" w:hint="eastAsia"/>
              </w:rPr>
              <w:t>網實通路整合流通人才</w:t>
            </w:r>
            <w:r>
              <w:rPr>
                <w:rFonts w:ascii="Times New Roman" w:eastAsia="標楷體" w:hAnsi="Times New Roman" w:cs="Times New Roman" w:hint="eastAsia"/>
              </w:rPr>
              <w:t>，符合產業需求並且具有</w:t>
            </w:r>
            <w:r w:rsidRPr="006E18CE">
              <w:rPr>
                <w:rFonts w:ascii="Times New Roman" w:eastAsia="標楷體" w:hAnsi="Times New Roman" w:cs="Times New Roman" w:hint="eastAsia"/>
              </w:rPr>
              <w:t>就業競爭力</w:t>
            </w:r>
            <w:r>
              <w:rPr>
                <w:rFonts w:ascii="Times New Roman" w:eastAsia="標楷體" w:hAnsi="Times New Roman" w:cs="Times New Roman" w:hint="eastAsia"/>
              </w:rPr>
              <w:t>；此外，學程之規劃能夠</w:t>
            </w:r>
            <w:r w:rsidRPr="006E18CE">
              <w:rPr>
                <w:rFonts w:ascii="Times New Roman" w:eastAsia="標楷體" w:hAnsi="Times New Roman" w:cs="Times New Roman" w:hint="eastAsia"/>
              </w:rPr>
              <w:t>配合學校發展方向</w:t>
            </w:r>
            <w:r>
              <w:rPr>
                <w:rFonts w:ascii="Times New Roman" w:eastAsia="標楷體" w:hAnsi="Times New Roman" w:cs="Times New Roman" w:hint="eastAsia"/>
              </w:rPr>
              <w:t>與目標，顯示此</w:t>
            </w:r>
            <w:r w:rsidRPr="006E18CE">
              <w:rPr>
                <w:rFonts w:ascii="Times New Roman" w:eastAsia="標楷體" w:hAnsi="Times New Roman" w:cs="Times New Roman" w:hint="eastAsia"/>
              </w:rPr>
              <w:t>學程具有特色且目標明確</w:t>
            </w:r>
            <w:r>
              <w:rPr>
                <w:rFonts w:ascii="Times New Roman" w:eastAsia="標楷體" w:hAnsi="Times New Roman" w:cs="Times New Roman" w:hint="eastAsia"/>
              </w:rPr>
              <w:t>。</w:t>
            </w:r>
          </w:p>
        </w:tc>
        <w:tc>
          <w:tcPr>
            <w:tcW w:w="5306" w:type="dxa"/>
            <w:vMerge w:val="restart"/>
          </w:tcPr>
          <w:p w:rsidR="00EE3605" w:rsidRDefault="00EE3605" w:rsidP="00395816">
            <w:pPr>
              <w:pStyle w:val="ab"/>
              <w:spacing w:line="288" w:lineRule="auto"/>
              <w:rPr>
                <w:rFonts w:ascii="Times New Roman" w:eastAsia="標楷體" w:hAnsi="Times New Roman" w:cs="Times New Roman" w:hint="eastAsia"/>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EE3605" w:rsidRPr="000C706F" w:rsidTr="00EE3605">
        <w:tc>
          <w:tcPr>
            <w:tcW w:w="1016" w:type="dxa"/>
            <w:vAlign w:val="center"/>
          </w:tcPr>
          <w:p w:rsidR="00EE3605" w:rsidRPr="000C706F" w:rsidRDefault="00EE3605"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6906" w:type="dxa"/>
          </w:tcPr>
          <w:p w:rsidR="00EE3605" w:rsidRPr="008B521C" w:rsidRDefault="00EE3605" w:rsidP="008B521C">
            <w:pPr>
              <w:pStyle w:val="ab"/>
              <w:spacing w:before="100" w:after="100"/>
              <w:rPr>
                <w:rFonts w:ascii="Times New Roman" w:eastAsia="標楷體" w:hAnsi="Times New Roman"/>
              </w:rPr>
            </w:pPr>
            <w:r w:rsidRPr="00020270">
              <w:rPr>
                <w:rFonts w:ascii="Times New Roman" w:eastAsia="標楷體" w:hAnsi="Times New Roman" w:cs="Times New Roman" w:hint="eastAsia"/>
              </w:rPr>
              <w:t>檢視本學程規劃，確實因應企業進行網實雙向脈絡發展時候所需要的能力，包括專業知識的養成、實務營運的見學，以及專門證照的輔導等</w:t>
            </w:r>
            <w:r>
              <w:rPr>
                <w:rFonts w:ascii="Times New Roman" w:eastAsia="標楷體" w:hAnsi="Times New Roman" w:cs="Times New Roman" w:hint="eastAsia"/>
              </w:rPr>
              <w:t>。</w:t>
            </w:r>
          </w:p>
        </w:tc>
        <w:tc>
          <w:tcPr>
            <w:tcW w:w="5306" w:type="dxa"/>
            <w:vMerge/>
          </w:tcPr>
          <w:p w:rsidR="00EE3605" w:rsidRPr="00020270" w:rsidRDefault="00EE3605" w:rsidP="008B521C">
            <w:pPr>
              <w:pStyle w:val="ab"/>
              <w:spacing w:before="100" w:after="100"/>
              <w:rPr>
                <w:rFonts w:ascii="Times New Roman" w:eastAsia="標楷體" w:hAnsi="Times New Roman" w:cs="Times New Roman" w:hint="eastAsia"/>
              </w:rPr>
            </w:pPr>
          </w:p>
        </w:tc>
      </w:tr>
      <w:tr w:rsidR="00EE3605" w:rsidRPr="000C706F" w:rsidTr="00EE3605">
        <w:tc>
          <w:tcPr>
            <w:tcW w:w="1016" w:type="dxa"/>
            <w:vAlign w:val="center"/>
          </w:tcPr>
          <w:p w:rsidR="00EE3605" w:rsidRPr="000C706F" w:rsidRDefault="00EE3605"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3</w:t>
            </w:r>
          </w:p>
        </w:tc>
        <w:tc>
          <w:tcPr>
            <w:tcW w:w="6906" w:type="dxa"/>
          </w:tcPr>
          <w:p w:rsidR="00EE3605" w:rsidRPr="00E67EE5" w:rsidRDefault="008364AC" w:rsidP="00E67EE5">
            <w:pPr>
              <w:rPr>
                <w:rFonts w:ascii="Times New Roman" w:eastAsia="標楷體" w:hAnsi="Times New Roman" w:cs="Times New Roman"/>
              </w:rPr>
            </w:pPr>
            <w:r>
              <w:rPr>
                <w:rFonts w:ascii="Times New Roman" w:eastAsia="標楷體" w:hAnsi="Times New Roman" w:cs="Times New Roman" w:hint="eastAsia"/>
              </w:rPr>
              <w:t>此學程結合學校的資源擁有多個實驗室與情境教室提前體驗產業情況。並結合落實參訪企業透由現場的情境可以讓學生提前思考未來的就業方向。加上提供實習可抵面學分的方式提高學生參予產業實習的意願皆為一般學程少見的部分。值得嘉獎。</w:t>
            </w:r>
          </w:p>
        </w:tc>
        <w:tc>
          <w:tcPr>
            <w:tcW w:w="5306" w:type="dxa"/>
            <w:vMerge/>
          </w:tcPr>
          <w:p w:rsidR="00EE3605" w:rsidRPr="00E67EE5" w:rsidRDefault="00EE3605" w:rsidP="00E67EE5">
            <w:pPr>
              <w:rPr>
                <w:rFonts w:ascii="Times New Roman" w:eastAsia="標楷體" w:hAnsi="Times New Roman" w:cs="Times New Roman"/>
              </w:rPr>
            </w:pPr>
          </w:p>
        </w:tc>
      </w:tr>
    </w:tbl>
    <w:p w:rsidR="00581F81" w:rsidRPr="00581F81" w:rsidRDefault="00581F81" w:rsidP="00581F81">
      <w:pPr>
        <w:rPr>
          <w:rFonts w:ascii="Times New Roman" w:eastAsia="標楷體" w:hAnsi="Times New Roman" w:cs="Times New Roman"/>
          <w:b/>
          <w:sz w:val="28"/>
          <w:szCs w:val="28"/>
        </w:rPr>
      </w:pPr>
    </w:p>
    <w:p w:rsidR="00F23706" w:rsidRPr="00581F81" w:rsidRDefault="00847B65" w:rsidP="00581F81">
      <w:pPr>
        <w:pStyle w:val="a3"/>
        <w:numPr>
          <w:ilvl w:val="0"/>
          <w:numId w:val="5"/>
        </w:numPr>
        <w:spacing w:line="360" w:lineRule="auto"/>
        <w:ind w:leftChars="0"/>
        <w:rPr>
          <w:rFonts w:ascii="Times New Roman" w:eastAsia="標楷體" w:hAnsi="Times New Roman" w:cs="Times New Roman"/>
          <w:b/>
          <w:sz w:val="28"/>
          <w:szCs w:val="28"/>
        </w:rPr>
      </w:pPr>
      <w:r w:rsidRPr="00581F81">
        <w:rPr>
          <w:rFonts w:ascii="Times New Roman" w:eastAsia="標楷體" w:hAnsi="Times New Roman" w:cs="Times New Roman"/>
          <w:b/>
          <w:sz w:val="28"/>
          <w:szCs w:val="28"/>
        </w:rPr>
        <w:t>學程之整體性評鑑意見</w:t>
      </w:r>
    </w:p>
    <w:tbl>
      <w:tblPr>
        <w:tblStyle w:val="a4"/>
        <w:tblW w:w="0" w:type="auto"/>
        <w:tblInd w:w="720" w:type="dxa"/>
        <w:tblLook w:val="04A0" w:firstRow="1" w:lastRow="0" w:firstColumn="1" w:lastColumn="0" w:noHBand="0" w:noVBand="1"/>
      </w:tblPr>
      <w:tblGrid>
        <w:gridCol w:w="998"/>
        <w:gridCol w:w="6924"/>
        <w:gridCol w:w="5306"/>
      </w:tblGrid>
      <w:tr w:rsidR="00EE3605" w:rsidRPr="000C706F" w:rsidTr="00EE3605">
        <w:trPr>
          <w:trHeight w:val="730"/>
        </w:trPr>
        <w:tc>
          <w:tcPr>
            <w:tcW w:w="998" w:type="dxa"/>
            <w:vAlign w:val="center"/>
          </w:tcPr>
          <w:p w:rsidR="00EE3605" w:rsidRPr="000C706F" w:rsidRDefault="00EE3605"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1</w:t>
            </w:r>
          </w:p>
        </w:tc>
        <w:tc>
          <w:tcPr>
            <w:tcW w:w="6924" w:type="dxa"/>
          </w:tcPr>
          <w:p w:rsidR="00EE3605" w:rsidRPr="005A283E" w:rsidRDefault="00EE3605" w:rsidP="005A283E">
            <w:pPr>
              <w:rPr>
                <w:rFonts w:ascii="Times New Roman" w:eastAsia="標楷體" w:hAnsi="Times New Roman" w:cs="Times New Roman"/>
              </w:rPr>
            </w:pPr>
            <w:r>
              <w:rPr>
                <w:rFonts w:ascii="Times New Roman" w:eastAsia="標楷體" w:hAnsi="Times New Roman" w:cs="Times New Roman" w:hint="eastAsia"/>
                <w:bCs/>
              </w:rPr>
              <w:t>學程之開設能夠運用學校之</w:t>
            </w:r>
            <w:r w:rsidRPr="002C7945">
              <w:rPr>
                <w:rFonts w:ascii="Times New Roman" w:eastAsia="標楷體" w:hAnsi="Times New Roman" w:cs="Times New Roman" w:hint="eastAsia"/>
                <w:bCs/>
              </w:rPr>
              <w:t>優勢與特色</w:t>
            </w:r>
            <w:r>
              <w:rPr>
                <w:rFonts w:ascii="Times New Roman" w:eastAsia="標楷體" w:hAnsi="Times New Roman" w:cs="Times New Roman" w:hint="eastAsia"/>
                <w:bCs/>
              </w:rPr>
              <w:t>，並且考慮</w:t>
            </w:r>
            <w:r w:rsidRPr="00D924ED">
              <w:rPr>
                <w:rFonts w:ascii="Times New Roman" w:eastAsia="標楷體" w:hAnsi="Times New Roman" w:cs="Times New Roman" w:hint="eastAsia"/>
                <w:bCs/>
              </w:rPr>
              <w:t>產業與社會</w:t>
            </w:r>
            <w:r>
              <w:rPr>
                <w:rFonts w:ascii="Times New Roman" w:eastAsia="標楷體" w:hAnsi="Times New Roman" w:cs="Times New Roman" w:hint="eastAsia"/>
                <w:bCs/>
              </w:rPr>
              <w:t>人才</w:t>
            </w:r>
            <w:r w:rsidRPr="00D924ED">
              <w:rPr>
                <w:rFonts w:ascii="Times New Roman" w:eastAsia="標楷體" w:hAnsi="Times New Roman" w:cs="Times New Roman" w:hint="eastAsia"/>
                <w:bCs/>
              </w:rPr>
              <w:t>之需求</w:t>
            </w:r>
            <w:r>
              <w:rPr>
                <w:rFonts w:ascii="Times New Roman" w:eastAsia="標楷體" w:hAnsi="Times New Roman" w:cs="Times New Roman" w:hint="eastAsia"/>
                <w:bCs/>
              </w:rPr>
              <w:t>，</w:t>
            </w:r>
            <w:r>
              <w:rPr>
                <w:rFonts w:ascii="Times New Roman" w:eastAsia="標楷體" w:hAnsi="Times New Roman" w:cs="Times New Roman"/>
                <w:bCs/>
              </w:rPr>
              <w:t xml:space="preserve"> </w:t>
            </w:r>
            <w:r>
              <w:rPr>
                <w:rFonts w:ascii="Times New Roman" w:eastAsia="標楷體" w:hAnsi="Times New Roman" w:cs="Times New Roman" w:hint="eastAsia"/>
                <w:bCs/>
              </w:rPr>
              <w:t>對於修習學程之學生，可以提升其就業能力；在課程規劃方面，課程多元並含有</w:t>
            </w:r>
            <w:r w:rsidRPr="004B5C86">
              <w:rPr>
                <w:rFonts w:ascii="Times New Roman" w:eastAsia="標楷體" w:hAnsi="Times New Roman" w:cs="Times New Roman" w:hint="eastAsia"/>
              </w:rPr>
              <w:t>實務導向課程，</w:t>
            </w:r>
            <w:r>
              <w:rPr>
                <w:rFonts w:ascii="Times New Roman" w:eastAsia="標楷體" w:hAnsi="Times New Roman" w:cs="Times New Roman" w:hint="eastAsia"/>
              </w:rPr>
              <w:t>加強學生實務應用之能力。</w:t>
            </w:r>
            <w:r w:rsidRPr="00733D6A">
              <w:rPr>
                <w:rFonts w:ascii="Times New Roman" w:eastAsia="標楷體" w:hAnsi="Times New Roman" w:cs="Times New Roman" w:hint="eastAsia"/>
                <w:bCs/>
              </w:rPr>
              <w:t>綜觀上述，</w:t>
            </w:r>
            <w:r>
              <w:rPr>
                <w:rFonts w:ascii="Times New Roman" w:eastAsia="標楷體" w:hAnsi="Times New Roman" w:cs="Times New Roman" w:hint="eastAsia"/>
                <w:bCs/>
              </w:rPr>
              <w:t>學程之</w:t>
            </w:r>
            <w:r>
              <w:rPr>
                <w:rFonts w:ascii="Times New Roman" w:eastAsia="標楷體" w:hAnsi="Times New Roman" w:cs="Times New Roman" w:hint="eastAsia"/>
              </w:rPr>
              <w:t>整體規劃合宜並且具有特色。</w:t>
            </w:r>
          </w:p>
        </w:tc>
        <w:tc>
          <w:tcPr>
            <w:tcW w:w="5306" w:type="dxa"/>
            <w:vMerge w:val="restart"/>
          </w:tcPr>
          <w:p w:rsidR="00EE3605" w:rsidRDefault="00EE3605" w:rsidP="005A283E">
            <w:pPr>
              <w:rPr>
                <w:rFonts w:ascii="Times New Roman" w:eastAsia="標楷體" w:hAnsi="Times New Roman" w:cs="Times New Roman"/>
                <w:bCs/>
              </w:rPr>
            </w:pPr>
            <w:r>
              <w:rPr>
                <w:rFonts w:ascii="標楷體" w:eastAsia="標楷體" w:hAnsi="標楷體" w:cs="Times New Roman" w:hint="eastAsia"/>
                <w:bCs/>
              </w:rPr>
              <w:t>◎</w:t>
            </w:r>
            <w:r>
              <w:rPr>
                <w:rFonts w:ascii="Times New Roman" w:eastAsia="標楷體" w:hAnsi="Times New Roman" w:cs="Times New Roman" w:hint="eastAsia"/>
                <w:bCs/>
              </w:rPr>
              <w:t>改善計畫</w:t>
            </w:r>
          </w:p>
        </w:tc>
      </w:tr>
      <w:tr w:rsidR="00EE3605" w:rsidRPr="000C706F" w:rsidTr="00EE3605">
        <w:tc>
          <w:tcPr>
            <w:tcW w:w="998" w:type="dxa"/>
            <w:vAlign w:val="center"/>
          </w:tcPr>
          <w:p w:rsidR="00EE3605" w:rsidRPr="000C706F" w:rsidRDefault="00EE3605"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t>委員</w:t>
            </w:r>
            <w:r w:rsidRPr="000C706F">
              <w:rPr>
                <w:rFonts w:ascii="Times New Roman" w:eastAsia="標楷體" w:hAnsi="Times New Roman" w:hint="eastAsia"/>
              </w:rPr>
              <w:t>2</w:t>
            </w:r>
          </w:p>
        </w:tc>
        <w:tc>
          <w:tcPr>
            <w:tcW w:w="6924" w:type="dxa"/>
          </w:tcPr>
          <w:p w:rsidR="00EE3605" w:rsidRPr="008B521C" w:rsidRDefault="00EE3605" w:rsidP="008B521C">
            <w:pPr>
              <w:pStyle w:val="ab"/>
              <w:rPr>
                <w:rFonts w:ascii="Times New Roman" w:eastAsia="標楷體" w:hAnsi="Times New Roman" w:cs="Times New Roman"/>
              </w:rPr>
            </w:pPr>
            <w:r>
              <w:rPr>
                <w:rFonts w:ascii="Times New Roman" w:eastAsia="標楷體" w:hAnsi="Times New Roman" w:cs="Times New Roman" w:hint="eastAsia"/>
              </w:rPr>
              <w:t>教育部</w:t>
            </w:r>
            <w:r w:rsidRPr="00C4134D">
              <w:rPr>
                <w:rFonts w:ascii="Times New Roman" w:eastAsia="標楷體" w:hAnsi="Times New Roman" w:cs="Times New Roman" w:hint="eastAsia"/>
              </w:rPr>
              <w:t>為鼓勵各大學校院因應產業及社會需求，開設跨領域學位學程及學分學程，培養跨領域人才</w:t>
            </w:r>
            <w:r>
              <w:rPr>
                <w:rFonts w:ascii="Times New Roman" w:eastAsia="標楷體" w:hAnsi="Times New Roman" w:cs="Times New Roman" w:hint="eastAsia"/>
              </w:rPr>
              <w:t>，技職體系的科技大學</w:t>
            </w:r>
            <w:r w:rsidRPr="005D7F72">
              <w:rPr>
                <w:rFonts w:ascii="Times New Roman" w:eastAsia="標楷體" w:hAnsi="Times New Roman" w:cs="Times New Roman" w:hint="eastAsia"/>
              </w:rPr>
              <w:t>已經不能再以提供專業知識為號招，必須有更多元化的課程使學生在專業領域外能夠有更多的涉獵，讓學生找出興趣和自身潛</w:t>
            </w:r>
            <w:r w:rsidRPr="005D7F72">
              <w:rPr>
                <w:rFonts w:ascii="Times New Roman" w:eastAsia="標楷體" w:hAnsi="Times New Roman" w:cs="Times New Roman" w:hint="eastAsia"/>
              </w:rPr>
              <w:lastRenderedPageBreak/>
              <w:t>在的能力，進而對未來的求職作準備，畢竟學生畢業之後，首當其衝的便是就業問題，如果在大學裡，學生能夠接觸更多的領域及培養自己的興趣，職業生涯的規劃將會更多元。</w:t>
            </w:r>
            <w:r>
              <w:rPr>
                <w:rFonts w:ascii="Times New Roman" w:eastAsia="標楷體" w:hAnsi="Times New Roman" w:cs="Times New Roman" w:hint="eastAsia"/>
              </w:rPr>
              <w:t>本學程的規劃完整豐富結合修習、研究、跨領域、跨入產業的課程規劃，可以符合以上期待。</w:t>
            </w:r>
          </w:p>
        </w:tc>
        <w:tc>
          <w:tcPr>
            <w:tcW w:w="5306" w:type="dxa"/>
            <w:vMerge/>
          </w:tcPr>
          <w:p w:rsidR="00EE3605" w:rsidRDefault="00EE3605" w:rsidP="008B521C">
            <w:pPr>
              <w:pStyle w:val="ab"/>
              <w:rPr>
                <w:rFonts w:ascii="Times New Roman" w:eastAsia="標楷體" w:hAnsi="Times New Roman" w:cs="Times New Roman" w:hint="eastAsia"/>
              </w:rPr>
            </w:pPr>
          </w:p>
        </w:tc>
      </w:tr>
      <w:tr w:rsidR="00EE3605" w:rsidRPr="000C706F" w:rsidTr="00EE3605">
        <w:tc>
          <w:tcPr>
            <w:tcW w:w="998" w:type="dxa"/>
            <w:vAlign w:val="center"/>
          </w:tcPr>
          <w:p w:rsidR="00EE3605" w:rsidRPr="000C706F" w:rsidRDefault="00EE3605" w:rsidP="00AB314E">
            <w:pPr>
              <w:pStyle w:val="a3"/>
              <w:ind w:leftChars="0" w:left="0"/>
              <w:jc w:val="center"/>
              <w:rPr>
                <w:rFonts w:ascii="Times New Roman" w:eastAsia="標楷體" w:hAnsi="Times New Roman" w:cs="Times New Roman"/>
              </w:rPr>
            </w:pPr>
            <w:r w:rsidRPr="000C706F">
              <w:rPr>
                <w:rFonts w:ascii="Times New Roman" w:eastAsia="標楷體" w:hAnsi="Times New Roman"/>
              </w:rPr>
              <w:lastRenderedPageBreak/>
              <w:t>委員</w:t>
            </w:r>
            <w:r w:rsidRPr="000C706F">
              <w:rPr>
                <w:rFonts w:ascii="Times New Roman" w:eastAsia="標楷體" w:hAnsi="Times New Roman" w:hint="eastAsia"/>
              </w:rPr>
              <w:t>3</w:t>
            </w:r>
          </w:p>
        </w:tc>
        <w:tc>
          <w:tcPr>
            <w:tcW w:w="6924" w:type="dxa"/>
          </w:tcPr>
          <w:p w:rsidR="00EE3605" w:rsidRPr="00E67EE5" w:rsidRDefault="008364AC" w:rsidP="00E67EE5">
            <w:pPr>
              <w:rPr>
                <w:rFonts w:ascii="Times New Roman" w:eastAsia="標楷體" w:hAnsi="Times New Roman" w:cs="Times New Roman"/>
              </w:rPr>
            </w:pPr>
            <w:r>
              <w:rPr>
                <w:rFonts w:ascii="Times New Roman" w:eastAsia="標楷體" w:hAnsi="Times New Roman" w:cs="Times New Roman" w:hint="eastAsia"/>
              </w:rPr>
              <w:t>整體課程設計相對務實，符合現今產業的需求，建議可持續原先設計理念持續發展。在課程因應社會環境的後疫情時代，企業的韌性需求、消費生活習慣的改變課程需搭配科技技術要做相對應的小調整思考如</w:t>
            </w:r>
            <w:r>
              <w:rPr>
                <w:rFonts w:ascii="Times New Roman" w:eastAsia="標楷體" w:hAnsi="Times New Roman" w:cs="Times New Roman" w:hint="eastAsia"/>
              </w:rPr>
              <w:t>AI</w:t>
            </w:r>
            <w:r>
              <w:rPr>
                <w:rFonts w:ascii="Times New Roman" w:eastAsia="標楷體" w:hAnsi="Times New Roman" w:cs="Times New Roman" w:hint="eastAsia"/>
              </w:rPr>
              <w:t>、</w:t>
            </w:r>
            <w:r>
              <w:rPr>
                <w:rFonts w:ascii="Times New Roman" w:eastAsia="標楷體" w:hAnsi="Times New Roman" w:cs="Times New Roman" w:hint="eastAsia"/>
              </w:rPr>
              <w:t>5G</w:t>
            </w:r>
            <w:r>
              <w:rPr>
                <w:rFonts w:ascii="Times New Roman" w:eastAsia="標楷體" w:hAnsi="Times New Roman" w:cs="Times New Roman" w:hint="eastAsia"/>
              </w:rPr>
              <w:t>應用等議題。另外可增加一個創新思考的部分相關課程可透由國際案例將創新與國內產業做相關融合。</w:t>
            </w:r>
            <w:bookmarkStart w:id="0" w:name="_GoBack"/>
            <w:bookmarkEnd w:id="0"/>
          </w:p>
        </w:tc>
        <w:tc>
          <w:tcPr>
            <w:tcW w:w="5306" w:type="dxa"/>
            <w:vMerge/>
          </w:tcPr>
          <w:p w:rsidR="00EE3605" w:rsidRPr="00E67EE5" w:rsidRDefault="00EE3605" w:rsidP="00E67EE5">
            <w:pPr>
              <w:rPr>
                <w:rFonts w:ascii="Times New Roman" w:eastAsia="標楷體" w:hAnsi="Times New Roman" w:cs="Times New Roman"/>
              </w:rPr>
            </w:pPr>
          </w:p>
        </w:tc>
      </w:tr>
    </w:tbl>
    <w:p w:rsidR="00581F81" w:rsidRPr="00581F81" w:rsidRDefault="00581F81" w:rsidP="00581F81">
      <w:pPr>
        <w:spacing w:line="360" w:lineRule="auto"/>
        <w:rPr>
          <w:rFonts w:ascii="Times New Roman" w:eastAsia="標楷體" w:hAnsi="Times New Roman" w:cs="Times New Roman"/>
          <w:b/>
          <w:sz w:val="28"/>
          <w:szCs w:val="28"/>
        </w:rPr>
      </w:pPr>
    </w:p>
    <w:tbl>
      <w:tblPr>
        <w:tblStyle w:val="a4"/>
        <w:tblW w:w="0" w:type="auto"/>
        <w:tblInd w:w="-5" w:type="dxa"/>
        <w:tblLook w:val="04A0" w:firstRow="1" w:lastRow="0" w:firstColumn="1" w:lastColumn="0" w:noHBand="0" w:noVBand="1"/>
      </w:tblPr>
      <w:tblGrid>
        <w:gridCol w:w="4111"/>
        <w:gridCol w:w="9072"/>
      </w:tblGrid>
      <w:tr w:rsidR="006937CD" w:rsidTr="00FA77BA">
        <w:tc>
          <w:tcPr>
            <w:tcW w:w="4111" w:type="dxa"/>
            <w:tcBorders>
              <w:top w:val="single" w:sz="4" w:space="0" w:color="auto"/>
              <w:left w:val="single" w:sz="4" w:space="0" w:color="auto"/>
              <w:bottom w:val="single" w:sz="4" w:space="0" w:color="auto"/>
              <w:right w:val="single" w:sz="4" w:space="0" w:color="auto"/>
            </w:tcBorders>
            <w:hideMark/>
          </w:tcPr>
          <w:p w:rsidR="006937CD" w:rsidRDefault="006937CD" w:rsidP="00FA77BA">
            <w:pPr>
              <w:spacing w:line="360" w:lineRule="auto"/>
              <w:rPr>
                <w:rFonts w:ascii="Times New Roman" w:eastAsia="標楷體" w:hAnsi="Times New Roman"/>
              </w:rPr>
            </w:pPr>
            <w:r>
              <w:rPr>
                <w:rFonts w:ascii="標楷體" w:eastAsia="標楷體" w:hAnsi="標楷體" w:hint="eastAsia"/>
                <w:color w:val="000000"/>
                <w:sz w:val="28"/>
                <w:szCs w:val="28"/>
                <w:shd w:val="clear" w:color="auto" w:fill="FFFFFF" w:themeFill="background1"/>
              </w:rPr>
              <w:t>學程召集老師</w:t>
            </w:r>
          </w:p>
        </w:tc>
        <w:tc>
          <w:tcPr>
            <w:tcW w:w="9072" w:type="dxa"/>
            <w:tcBorders>
              <w:top w:val="single" w:sz="4" w:space="0" w:color="auto"/>
              <w:left w:val="single" w:sz="4" w:space="0" w:color="auto"/>
              <w:bottom w:val="single" w:sz="4" w:space="0" w:color="auto"/>
              <w:right w:val="single" w:sz="4" w:space="0" w:color="auto"/>
            </w:tcBorders>
          </w:tcPr>
          <w:p w:rsidR="006937CD" w:rsidRDefault="006937CD" w:rsidP="00FA77BA">
            <w:pPr>
              <w:spacing w:line="360" w:lineRule="auto"/>
              <w:rPr>
                <w:rFonts w:ascii="Times New Roman" w:eastAsia="標楷體" w:hAnsi="Times New Roman"/>
              </w:rPr>
            </w:pPr>
          </w:p>
        </w:tc>
      </w:tr>
      <w:tr w:rsidR="006937CD" w:rsidTr="00FA77BA">
        <w:tc>
          <w:tcPr>
            <w:tcW w:w="4111" w:type="dxa"/>
            <w:tcBorders>
              <w:top w:val="single" w:sz="4" w:space="0" w:color="auto"/>
              <w:left w:val="single" w:sz="4" w:space="0" w:color="auto"/>
              <w:bottom w:val="single" w:sz="4" w:space="0" w:color="auto"/>
              <w:right w:val="single" w:sz="4" w:space="0" w:color="auto"/>
            </w:tcBorders>
            <w:hideMark/>
          </w:tcPr>
          <w:p w:rsidR="006937CD" w:rsidRDefault="006937CD" w:rsidP="00FA77BA">
            <w:pPr>
              <w:spacing w:line="360" w:lineRule="auto"/>
              <w:rPr>
                <w:rFonts w:ascii="Times New Roman" w:eastAsia="標楷體" w:hAnsi="Times New Roman"/>
              </w:rPr>
            </w:pPr>
            <w:r>
              <w:rPr>
                <w:rFonts w:ascii="Times New Roman" w:eastAsia="標楷體" w:hAnsi="Times New Roman" w:hint="eastAsia"/>
                <w:sz w:val="28"/>
                <w:szCs w:val="28"/>
              </w:rPr>
              <w:t>院學分學程管理中心執行秘書</w:t>
            </w:r>
          </w:p>
        </w:tc>
        <w:tc>
          <w:tcPr>
            <w:tcW w:w="9072" w:type="dxa"/>
            <w:tcBorders>
              <w:top w:val="single" w:sz="4" w:space="0" w:color="auto"/>
              <w:left w:val="single" w:sz="4" w:space="0" w:color="auto"/>
              <w:bottom w:val="single" w:sz="4" w:space="0" w:color="auto"/>
              <w:right w:val="single" w:sz="4" w:space="0" w:color="auto"/>
            </w:tcBorders>
          </w:tcPr>
          <w:p w:rsidR="006937CD" w:rsidRDefault="006937CD" w:rsidP="00FA77BA">
            <w:pPr>
              <w:spacing w:line="360" w:lineRule="auto"/>
              <w:rPr>
                <w:rFonts w:ascii="Times New Roman" w:eastAsia="標楷體" w:hAnsi="Times New Roman"/>
              </w:rPr>
            </w:pPr>
          </w:p>
        </w:tc>
      </w:tr>
      <w:tr w:rsidR="006937CD" w:rsidTr="00FA77BA">
        <w:tc>
          <w:tcPr>
            <w:tcW w:w="4111" w:type="dxa"/>
            <w:tcBorders>
              <w:top w:val="single" w:sz="4" w:space="0" w:color="auto"/>
              <w:left w:val="single" w:sz="4" w:space="0" w:color="auto"/>
              <w:bottom w:val="single" w:sz="4" w:space="0" w:color="auto"/>
              <w:right w:val="single" w:sz="4" w:space="0" w:color="auto"/>
            </w:tcBorders>
            <w:hideMark/>
          </w:tcPr>
          <w:p w:rsidR="006937CD" w:rsidRDefault="006937CD" w:rsidP="00FA77BA">
            <w:pPr>
              <w:spacing w:line="360" w:lineRule="auto"/>
              <w:rPr>
                <w:rFonts w:ascii="Times New Roman" w:eastAsia="標楷體" w:hAnsi="Times New Roman"/>
              </w:rPr>
            </w:pPr>
            <w:r>
              <w:rPr>
                <w:rFonts w:ascii="標楷體" w:eastAsia="標楷體" w:hAnsi="標楷體" w:hint="eastAsia"/>
                <w:color w:val="000000"/>
                <w:sz w:val="28"/>
                <w:szCs w:val="28"/>
                <w:shd w:val="clear" w:color="auto" w:fill="FFFFFF" w:themeFill="background1"/>
              </w:rPr>
              <w:t>學院院長</w:t>
            </w:r>
          </w:p>
        </w:tc>
        <w:tc>
          <w:tcPr>
            <w:tcW w:w="9072" w:type="dxa"/>
            <w:tcBorders>
              <w:top w:val="single" w:sz="4" w:space="0" w:color="auto"/>
              <w:left w:val="single" w:sz="4" w:space="0" w:color="auto"/>
              <w:bottom w:val="single" w:sz="4" w:space="0" w:color="auto"/>
              <w:right w:val="single" w:sz="4" w:space="0" w:color="auto"/>
            </w:tcBorders>
          </w:tcPr>
          <w:p w:rsidR="006937CD" w:rsidRDefault="006937CD" w:rsidP="00FA77BA">
            <w:pPr>
              <w:spacing w:line="360" w:lineRule="auto"/>
              <w:rPr>
                <w:rFonts w:ascii="Times New Roman" w:eastAsia="標楷體" w:hAnsi="Times New Roman"/>
              </w:rPr>
            </w:pPr>
          </w:p>
        </w:tc>
      </w:tr>
      <w:tr w:rsidR="006937CD" w:rsidTr="00FA77BA">
        <w:tc>
          <w:tcPr>
            <w:tcW w:w="4111" w:type="dxa"/>
            <w:tcBorders>
              <w:top w:val="single" w:sz="4" w:space="0" w:color="auto"/>
              <w:left w:val="single" w:sz="4" w:space="0" w:color="auto"/>
              <w:bottom w:val="single" w:sz="4" w:space="0" w:color="auto"/>
              <w:right w:val="single" w:sz="4" w:space="0" w:color="auto"/>
            </w:tcBorders>
            <w:hideMark/>
          </w:tcPr>
          <w:p w:rsidR="006937CD" w:rsidRDefault="006937CD" w:rsidP="00FA77BA">
            <w:pPr>
              <w:spacing w:line="360" w:lineRule="auto"/>
              <w:rPr>
                <w:rFonts w:ascii="Times New Roman" w:eastAsia="標楷體" w:hAnsi="Times New Roman"/>
              </w:rPr>
            </w:pPr>
            <w:r>
              <w:rPr>
                <w:rFonts w:ascii="標楷體" w:eastAsia="標楷體" w:hAnsi="標楷體" w:hint="eastAsia"/>
                <w:color w:val="000000"/>
                <w:sz w:val="28"/>
                <w:szCs w:val="28"/>
                <w:shd w:val="clear" w:color="auto" w:fill="FFFFFF" w:themeFill="background1"/>
              </w:rPr>
              <w:t>跨領域學習中心</w:t>
            </w:r>
          </w:p>
        </w:tc>
        <w:tc>
          <w:tcPr>
            <w:tcW w:w="9072" w:type="dxa"/>
            <w:tcBorders>
              <w:top w:val="single" w:sz="4" w:space="0" w:color="auto"/>
              <w:left w:val="single" w:sz="4" w:space="0" w:color="auto"/>
              <w:bottom w:val="single" w:sz="4" w:space="0" w:color="auto"/>
              <w:right w:val="single" w:sz="4" w:space="0" w:color="auto"/>
            </w:tcBorders>
          </w:tcPr>
          <w:p w:rsidR="006937CD" w:rsidRDefault="006937CD" w:rsidP="00FA77BA">
            <w:pPr>
              <w:spacing w:line="360" w:lineRule="auto"/>
              <w:rPr>
                <w:rFonts w:ascii="Times New Roman" w:eastAsia="標楷體" w:hAnsi="Times New Roman"/>
              </w:rPr>
            </w:pPr>
          </w:p>
        </w:tc>
      </w:tr>
    </w:tbl>
    <w:p w:rsidR="00B71D44" w:rsidRPr="00136292" w:rsidRDefault="00B71D44" w:rsidP="00136292">
      <w:pPr>
        <w:spacing w:line="360" w:lineRule="auto"/>
        <w:ind w:left="960" w:hangingChars="400" w:hanging="960"/>
        <w:rPr>
          <w:rFonts w:ascii="Times New Roman" w:eastAsia="標楷體" w:hAnsi="Times New Roman"/>
        </w:rPr>
      </w:pPr>
    </w:p>
    <w:sectPr w:rsidR="00B71D44" w:rsidRPr="00136292" w:rsidSect="006937CD">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DA5" w:rsidRDefault="002F1DA5" w:rsidP="00CC3407">
      <w:r>
        <w:separator/>
      </w:r>
    </w:p>
  </w:endnote>
  <w:endnote w:type="continuationSeparator" w:id="0">
    <w:p w:rsidR="002F1DA5" w:rsidRDefault="002F1DA5" w:rsidP="00CC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標楷體A耜..">
    <w:altName w:val="細明體_HKSCS"/>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DA5" w:rsidRDefault="002F1DA5" w:rsidP="00CC3407">
      <w:r>
        <w:separator/>
      </w:r>
    </w:p>
  </w:footnote>
  <w:footnote w:type="continuationSeparator" w:id="0">
    <w:p w:rsidR="002F1DA5" w:rsidRDefault="002F1DA5" w:rsidP="00CC34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4E60"/>
    <w:multiLevelType w:val="hybridMultilevel"/>
    <w:tmpl w:val="D904F9C8"/>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130B16"/>
    <w:multiLevelType w:val="hybridMultilevel"/>
    <w:tmpl w:val="0C765B1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411799"/>
    <w:multiLevelType w:val="hybridMultilevel"/>
    <w:tmpl w:val="1EC6E362"/>
    <w:lvl w:ilvl="0" w:tplc="EB1C4014">
      <w:start w:val="1"/>
      <w:numFmt w:val="decimal"/>
      <w:lvlText w:val="%1."/>
      <w:lvlJc w:val="left"/>
      <w:pPr>
        <w:ind w:left="960" w:hanging="480"/>
      </w:pPr>
      <w:rPr>
        <w:rFonts w:ascii="微軟正黑體" w:eastAsia="微軟正黑體" w:hAnsi="微軟正黑體" w:cstheme="minorBidi"/>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32C4616"/>
    <w:multiLevelType w:val="hybridMultilevel"/>
    <w:tmpl w:val="07523EE8"/>
    <w:lvl w:ilvl="0" w:tplc="E9804FFC">
      <w:start w:val="1"/>
      <w:numFmt w:val="decimal"/>
      <w:lvlText w:val="(%1)"/>
      <w:lvlJc w:val="left"/>
      <w:pPr>
        <w:ind w:left="360" w:hanging="36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E12E01"/>
    <w:multiLevelType w:val="hybridMultilevel"/>
    <w:tmpl w:val="6E18F274"/>
    <w:lvl w:ilvl="0" w:tplc="356CCE8C">
      <w:numFmt w:val="bullet"/>
      <w:lvlText w:val="※"/>
      <w:lvlJc w:val="left"/>
      <w:pPr>
        <w:ind w:left="360" w:hanging="360"/>
      </w:pPr>
      <w:rPr>
        <w:rFonts w:ascii="標楷體" w:eastAsia="標楷體" w:hAnsi="標楷體" w:cs="標楷體A耜.." w:hint="eastAsia"/>
        <w:sz w:val="28"/>
        <w:u w:val="singl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7D616DC"/>
    <w:multiLevelType w:val="hybridMultilevel"/>
    <w:tmpl w:val="E2A09C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E1611B"/>
    <w:multiLevelType w:val="hybridMultilevel"/>
    <w:tmpl w:val="17A20412"/>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37380D"/>
    <w:multiLevelType w:val="hybridMultilevel"/>
    <w:tmpl w:val="FD7E81F2"/>
    <w:lvl w:ilvl="0" w:tplc="E9804FFC">
      <w:start w:val="1"/>
      <w:numFmt w:val="decimal"/>
      <w:lvlText w:val="(%1)"/>
      <w:lvlJc w:val="left"/>
      <w:pPr>
        <w:ind w:left="480" w:hanging="48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624ADB"/>
    <w:multiLevelType w:val="hybridMultilevel"/>
    <w:tmpl w:val="17A20412"/>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DE623C"/>
    <w:multiLevelType w:val="hybridMultilevel"/>
    <w:tmpl w:val="DBD042A2"/>
    <w:lvl w:ilvl="0" w:tplc="65C82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36138D"/>
    <w:multiLevelType w:val="hybridMultilevel"/>
    <w:tmpl w:val="5DCA90E4"/>
    <w:lvl w:ilvl="0" w:tplc="E9804FFC">
      <w:start w:val="1"/>
      <w:numFmt w:val="decimal"/>
      <w:lvlText w:val="(%1)"/>
      <w:lvlJc w:val="left"/>
      <w:pPr>
        <w:ind w:left="480" w:hanging="48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EB23C8"/>
    <w:multiLevelType w:val="hybridMultilevel"/>
    <w:tmpl w:val="9C54AF00"/>
    <w:lvl w:ilvl="0" w:tplc="4DA422C4">
      <w:start w:val="1"/>
      <w:numFmt w:val="taiwaneseCountingThousand"/>
      <w:lvlText w:val="%1、"/>
      <w:lvlJc w:val="left"/>
      <w:pPr>
        <w:ind w:left="720" w:hanging="720"/>
      </w:pPr>
      <w:rPr>
        <w:rFonts w:hint="default"/>
        <w:sz w:val="28"/>
      </w:rPr>
    </w:lvl>
    <w:lvl w:ilvl="1" w:tplc="3C28437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D3045E"/>
    <w:multiLevelType w:val="hybridMultilevel"/>
    <w:tmpl w:val="17A20412"/>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440C16"/>
    <w:multiLevelType w:val="hybridMultilevel"/>
    <w:tmpl w:val="CC58D162"/>
    <w:lvl w:ilvl="0" w:tplc="E9804FFC">
      <w:start w:val="1"/>
      <w:numFmt w:val="decimal"/>
      <w:lvlText w:val="(%1)"/>
      <w:lvlJc w:val="left"/>
      <w:pPr>
        <w:ind w:left="360" w:hanging="36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983829"/>
    <w:multiLevelType w:val="hybridMultilevel"/>
    <w:tmpl w:val="668ED8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E43D4A"/>
    <w:multiLevelType w:val="hybridMultilevel"/>
    <w:tmpl w:val="B89820D4"/>
    <w:lvl w:ilvl="0" w:tplc="04090001">
      <w:start w:val="1"/>
      <w:numFmt w:val="bullet"/>
      <w:lvlText w:val=""/>
      <w:lvlJc w:val="left"/>
      <w:pPr>
        <w:ind w:left="480" w:hanging="480"/>
      </w:pPr>
      <w:rPr>
        <w:rFonts w:ascii="Wingdings" w:hAnsi="Wingdings" w:hint="default"/>
      </w:rPr>
    </w:lvl>
    <w:lvl w:ilvl="1" w:tplc="E03052B8">
      <w:start w:val="1"/>
      <w:numFmt w:val="decimal"/>
      <w:lvlText w:val="%2"/>
      <w:lvlJc w:val="left"/>
      <w:pPr>
        <w:ind w:left="960" w:hanging="480"/>
      </w:pPr>
      <w:rPr>
        <w:rFonts w:ascii="Times New Roman" w:eastAsia="標楷體" w:hAnsi="Times New Roman" w:cstheme="minorBidi"/>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59D3C40"/>
    <w:multiLevelType w:val="hybridMultilevel"/>
    <w:tmpl w:val="09543128"/>
    <w:lvl w:ilvl="0" w:tplc="E9804FFC">
      <w:start w:val="1"/>
      <w:numFmt w:val="decimal"/>
      <w:lvlText w:val="(%1)"/>
      <w:lvlJc w:val="left"/>
      <w:pPr>
        <w:ind w:left="360" w:hanging="36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CC6320"/>
    <w:multiLevelType w:val="hybridMultilevel"/>
    <w:tmpl w:val="17A20412"/>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7760BA"/>
    <w:multiLevelType w:val="hybridMultilevel"/>
    <w:tmpl w:val="4B66F27E"/>
    <w:lvl w:ilvl="0" w:tplc="E9804FFC">
      <w:start w:val="1"/>
      <w:numFmt w:val="decimal"/>
      <w:lvlText w:val="(%1)"/>
      <w:lvlJc w:val="left"/>
      <w:pPr>
        <w:ind w:left="480" w:hanging="48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E65CB2"/>
    <w:multiLevelType w:val="hybridMultilevel"/>
    <w:tmpl w:val="17A20412"/>
    <w:lvl w:ilvl="0" w:tplc="0409000F">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9F6184"/>
    <w:multiLevelType w:val="hybridMultilevel"/>
    <w:tmpl w:val="BAFA8902"/>
    <w:lvl w:ilvl="0" w:tplc="E9804FFC">
      <w:start w:val="1"/>
      <w:numFmt w:val="decimal"/>
      <w:lvlText w:val="(%1)"/>
      <w:lvlJc w:val="left"/>
      <w:pPr>
        <w:ind w:left="480" w:hanging="48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1B33D8"/>
    <w:multiLevelType w:val="hybridMultilevel"/>
    <w:tmpl w:val="2F7CF710"/>
    <w:lvl w:ilvl="0" w:tplc="E9804FFC">
      <w:start w:val="1"/>
      <w:numFmt w:val="decimal"/>
      <w:lvlText w:val="(%1)"/>
      <w:lvlJc w:val="left"/>
      <w:pPr>
        <w:ind w:left="480" w:hanging="48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841B0C"/>
    <w:multiLevelType w:val="hybridMultilevel"/>
    <w:tmpl w:val="0EFC3976"/>
    <w:lvl w:ilvl="0" w:tplc="974238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BB4E20"/>
    <w:multiLevelType w:val="hybridMultilevel"/>
    <w:tmpl w:val="D1B0C972"/>
    <w:lvl w:ilvl="0" w:tplc="E9804FFC">
      <w:start w:val="1"/>
      <w:numFmt w:val="decimal"/>
      <w:lvlText w:val="(%1)"/>
      <w:lvlJc w:val="left"/>
      <w:pPr>
        <w:ind w:left="360" w:hanging="360"/>
      </w:pPr>
      <w:rPr>
        <w:rFonts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14"/>
  </w:num>
  <w:num w:numId="4">
    <w:abstractNumId w:val="2"/>
  </w:num>
  <w:num w:numId="5">
    <w:abstractNumId w:val="11"/>
  </w:num>
  <w:num w:numId="6">
    <w:abstractNumId w:val="6"/>
  </w:num>
  <w:num w:numId="7">
    <w:abstractNumId w:val="12"/>
  </w:num>
  <w:num w:numId="8">
    <w:abstractNumId w:val="8"/>
  </w:num>
  <w:num w:numId="9">
    <w:abstractNumId w:val="17"/>
  </w:num>
  <w:num w:numId="10">
    <w:abstractNumId w:val="0"/>
  </w:num>
  <w:num w:numId="11">
    <w:abstractNumId w:val="19"/>
  </w:num>
  <w:num w:numId="12">
    <w:abstractNumId w:val="15"/>
  </w:num>
  <w:num w:numId="13">
    <w:abstractNumId w:val="16"/>
  </w:num>
  <w:num w:numId="14">
    <w:abstractNumId w:val="23"/>
  </w:num>
  <w:num w:numId="15">
    <w:abstractNumId w:val="3"/>
  </w:num>
  <w:num w:numId="16">
    <w:abstractNumId w:val="13"/>
  </w:num>
  <w:num w:numId="17">
    <w:abstractNumId w:val="21"/>
  </w:num>
  <w:num w:numId="18">
    <w:abstractNumId w:val="7"/>
  </w:num>
  <w:num w:numId="19">
    <w:abstractNumId w:val="10"/>
  </w:num>
  <w:num w:numId="20">
    <w:abstractNumId w:val="20"/>
  </w:num>
  <w:num w:numId="21">
    <w:abstractNumId w:val="18"/>
  </w:num>
  <w:num w:numId="22">
    <w:abstractNumId w:val="9"/>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43"/>
    <w:rsid w:val="000134D6"/>
    <w:rsid w:val="00077126"/>
    <w:rsid w:val="000B0B6F"/>
    <w:rsid w:val="000B5712"/>
    <w:rsid w:val="000C38F2"/>
    <w:rsid w:val="000C706F"/>
    <w:rsid w:val="00136292"/>
    <w:rsid w:val="00176975"/>
    <w:rsid w:val="001C07E2"/>
    <w:rsid w:val="001D0D1F"/>
    <w:rsid w:val="001E5610"/>
    <w:rsid w:val="001F7E8C"/>
    <w:rsid w:val="002230B5"/>
    <w:rsid w:val="00235078"/>
    <w:rsid w:val="002502CA"/>
    <w:rsid w:val="002A0DD7"/>
    <w:rsid w:val="002C0192"/>
    <w:rsid w:val="002E4E99"/>
    <w:rsid w:val="002F1DA5"/>
    <w:rsid w:val="003273F0"/>
    <w:rsid w:val="00327CF7"/>
    <w:rsid w:val="00336C39"/>
    <w:rsid w:val="00342067"/>
    <w:rsid w:val="00394619"/>
    <w:rsid w:val="00395816"/>
    <w:rsid w:val="003A09E5"/>
    <w:rsid w:val="003D3505"/>
    <w:rsid w:val="003F3B94"/>
    <w:rsid w:val="004100ED"/>
    <w:rsid w:val="00410E01"/>
    <w:rsid w:val="00427FD4"/>
    <w:rsid w:val="00430151"/>
    <w:rsid w:val="00432E20"/>
    <w:rsid w:val="00457873"/>
    <w:rsid w:val="004639C2"/>
    <w:rsid w:val="00487156"/>
    <w:rsid w:val="004A1CA2"/>
    <w:rsid w:val="004B290C"/>
    <w:rsid w:val="00512226"/>
    <w:rsid w:val="00512E23"/>
    <w:rsid w:val="00521D8A"/>
    <w:rsid w:val="00531116"/>
    <w:rsid w:val="0054323B"/>
    <w:rsid w:val="00556306"/>
    <w:rsid w:val="0057400D"/>
    <w:rsid w:val="00581F81"/>
    <w:rsid w:val="0059649D"/>
    <w:rsid w:val="005A283E"/>
    <w:rsid w:val="005B10C4"/>
    <w:rsid w:val="005B7C9C"/>
    <w:rsid w:val="005E2A32"/>
    <w:rsid w:val="006040F2"/>
    <w:rsid w:val="006054FA"/>
    <w:rsid w:val="00612437"/>
    <w:rsid w:val="00620D3F"/>
    <w:rsid w:val="006579BC"/>
    <w:rsid w:val="006760AE"/>
    <w:rsid w:val="006937CD"/>
    <w:rsid w:val="006A40F6"/>
    <w:rsid w:val="006A74B8"/>
    <w:rsid w:val="006E5507"/>
    <w:rsid w:val="007409BA"/>
    <w:rsid w:val="00747A79"/>
    <w:rsid w:val="00752A0F"/>
    <w:rsid w:val="007821E4"/>
    <w:rsid w:val="00796D56"/>
    <w:rsid w:val="007F30D0"/>
    <w:rsid w:val="00805528"/>
    <w:rsid w:val="00812F01"/>
    <w:rsid w:val="008364AC"/>
    <w:rsid w:val="00847B65"/>
    <w:rsid w:val="0087408F"/>
    <w:rsid w:val="00882269"/>
    <w:rsid w:val="008A3E27"/>
    <w:rsid w:val="008B521C"/>
    <w:rsid w:val="008F0087"/>
    <w:rsid w:val="008F3327"/>
    <w:rsid w:val="00920A9E"/>
    <w:rsid w:val="009477A5"/>
    <w:rsid w:val="009B192F"/>
    <w:rsid w:val="009B74E5"/>
    <w:rsid w:val="009C1222"/>
    <w:rsid w:val="009D29CC"/>
    <w:rsid w:val="009D6EE2"/>
    <w:rsid w:val="009F45D3"/>
    <w:rsid w:val="00A2679D"/>
    <w:rsid w:val="00A52F75"/>
    <w:rsid w:val="00A846A6"/>
    <w:rsid w:val="00A92083"/>
    <w:rsid w:val="00AB314E"/>
    <w:rsid w:val="00AE1CAD"/>
    <w:rsid w:val="00B30D8A"/>
    <w:rsid w:val="00B36837"/>
    <w:rsid w:val="00B42E68"/>
    <w:rsid w:val="00B71D44"/>
    <w:rsid w:val="00B972F1"/>
    <w:rsid w:val="00BE55AD"/>
    <w:rsid w:val="00BF2376"/>
    <w:rsid w:val="00C23099"/>
    <w:rsid w:val="00C411A6"/>
    <w:rsid w:val="00C44E0C"/>
    <w:rsid w:val="00C64243"/>
    <w:rsid w:val="00C75474"/>
    <w:rsid w:val="00CB1C66"/>
    <w:rsid w:val="00CC3407"/>
    <w:rsid w:val="00D15EC7"/>
    <w:rsid w:val="00D35F4E"/>
    <w:rsid w:val="00D54905"/>
    <w:rsid w:val="00D67DA8"/>
    <w:rsid w:val="00D718E3"/>
    <w:rsid w:val="00D752E6"/>
    <w:rsid w:val="00DE5AF9"/>
    <w:rsid w:val="00E12FBE"/>
    <w:rsid w:val="00E30D3A"/>
    <w:rsid w:val="00E406A8"/>
    <w:rsid w:val="00E67EE5"/>
    <w:rsid w:val="00EB0688"/>
    <w:rsid w:val="00EC0826"/>
    <w:rsid w:val="00EE3605"/>
    <w:rsid w:val="00F012CA"/>
    <w:rsid w:val="00F10835"/>
    <w:rsid w:val="00F23706"/>
    <w:rsid w:val="00F51CB2"/>
    <w:rsid w:val="00FA3380"/>
    <w:rsid w:val="00FC4C12"/>
    <w:rsid w:val="00FC4D99"/>
    <w:rsid w:val="00FE3030"/>
    <w:rsid w:val="00FE7D86"/>
    <w:rsid w:val="00FF5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0223ACE-EABD-4DDD-A508-4608387C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B65"/>
    <w:pPr>
      <w:ind w:leftChars="200" w:left="480"/>
    </w:pPr>
  </w:style>
  <w:style w:type="paragraph" w:customStyle="1" w:styleId="Default">
    <w:name w:val="Default"/>
    <w:rsid w:val="00847B65"/>
    <w:pPr>
      <w:widowControl w:val="0"/>
      <w:autoSpaceDE w:val="0"/>
      <w:autoSpaceDN w:val="0"/>
      <w:adjustRightInd w:val="0"/>
    </w:pPr>
    <w:rPr>
      <w:rFonts w:ascii="標楷體A耜.." w:eastAsia="標楷體A耜.." w:cs="標楷體A耜.."/>
      <w:color w:val="000000"/>
      <w:kern w:val="0"/>
      <w:szCs w:val="24"/>
    </w:rPr>
  </w:style>
  <w:style w:type="table" w:styleId="a4">
    <w:name w:val="Table Grid"/>
    <w:basedOn w:val="a1"/>
    <w:uiPriority w:val="59"/>
    <w:rsid w:val="0084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C3407"/>
    <w:pPr>
      <w:tabs>
        <w:tab w:val="center" w:pos="4153"/>
        <w:tab w:val="right" w:pos="8306"/>
      </w:tabs>
      <w:snapToGrid w:val="0"/>
    </w:pPr>
    <w:rPr>
      <w:sz w:val="20"/>
      <w:szCs w:val="20"/>
    </w:rPr>
  </w:style>
  <w:style w:type="character" w:customStyle="1" w:styleId="a6">
    <w:name w:val="頁首 字元"/>
    <w:basedOn w:val="a0"/>
    <w:link w:val="a5"/>
    <w:uiPriority w:val="99"/>
    <w:rsid w:val="00CC3407"/>
    <w:rPr>
      <w:sz w:val="20"/>
      <w:szCs w:val="20"/>
    </w:rPr>
  </w:style>
  <w:style w:type="paragraph" w:styleId="a7">
    <w:name w:val="footer"/>
    <w:basedOn w:val="a"/>
    <w:link w:val="a8"/>
    <w:uiPriority w:val="99"/>
    <w:unhideWhenUsed/>
    <w:rsid w:val="00CC3407"/>
    <w:pPr>
      <w:tabs>
        <w:tab w:val="center" w:pos="4153"/>
        <w:tab w:val="right" w:pos="8306"/>
      </w:tabs>
      <w:snapToGrid w:val="0"/>
    </w:pPr>
    <w:rPr>
      <w:sz w:val="20"/>
      <w:szCs w:val="20"/>
    </w:rPr>
  </w:style>
  <w:style w:type="character" w:customStyle="1" w:styleId="a8">
    <w:name w:val="頁尾 字元"/>
    <w:basedOn w:val="a0"/>
    <w:link w:val="a7"/>
    <w:uiPriority w:val="99"/>
    <w:rsid w:val="00CC3407"/>
    <w:rPr>
      <w:sz w:val="20"/>
      <w:szCs w:val="20"/>
    </w:rPr>
  </w:style>
  <w:style w:type="paragraph" w:styleId="a9">
    <w:name w:val="Balloon Text"/>
    <w:basedOn w:val="a"/>
    <w:link w:val="aa"/>
    <w:uiPriority w:val="99"/>
    <w:semiHidden/>
    <w:unhideWhenUsed/>
    <w:rsid w:val="003273F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73F0"/>
    <w:rPr>
      <w:rFonts w:asciiTheme="majorHAnsi" w:eastAsiaTheme="majorEastAsia" w:hAnsiTheme="majorHAnsi" w:cstheme="majorBidi"/>
      <w:sz w:val="18"/>
      <w:szCs w:val="18"/>
    </w:rPr>
  </w:style>
  <w:style w:type="paragraph" w:styleId="ab">
    <w:name w:val="Body Text"/>
    <w:link w:val="ac"/>
    <w:rsid w:val="003D3505"/>
    <w:pPr>
      <w:widowControl w:val="0"/>
      <w:suppressAutoHyphens/>
      <w:textAlignment w:val="baseline"/>
    </w:pPr>
    <w:rPr>
      <w:rFonts w:ascii="Calibri" w:eastAsia="新細明體" w:hAnsi="Calibri" w:cs="Calibri"/>
      <w:szCs w:val="24"/>
    </w:rPr>
  </w:style>
  <w:style w:type="character" w:customStyle="1" w:styleId="ac">
    <w:name w:val="本文 字元"/>
    <w:basedOn w:val="a0"/>
    <w:link w:val="ab"/>
    <w:rsid w:val="003D3505"/>
    <w:rPr>
      <w:rFonts w:ascii="Calibri" w:eastAsia="新細明體"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3E8E-2765-486A-A42E-24ACA981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2</cp:revision>
  <cp:lastPrinted>2022-08-31T08:51:00Z</cp:lastPrinted>
  <dcterms:created xsi:type="dcterms:W3CDTF">2022-09-05T07:51:00Z</dcterms:created>
  <dcterms:modified xsi:type="dcterms:W3CDTF">2022-09-05T07:51:00Z</dcterms:modified>
</cp:coreProperties>
</file>